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left="314"/>
        <w:jc w:val="center"/>
        <w:rPr>
          <w:rFonts w:hint="eastAsia" w:ascii="微软雅黑" w:hAnsi="微软雅黑" w:eastAsia="微软雅黑"/>
          <w:sz w:val="60"/>
        </w:rPr>
      </w:pPr>
    </w:p>
    <w:p>
      <w:pPr>
        <w:spacing w:line="360" w:lineRule="auto"/>
        <w:ind w:left="314"/>
        <w:jc w:val="center"/>
        <w:rPr>
          <w:rFonts w:hint="eastAsia" w:ascii="微软雅黑" w:hAnsi="微软雅黑" w:eastAsia="微软雅黑"/>
          <w:sz w:val="60"/>
        </w:rPr>
      </w:pPr>
      <w:bookmarkStart w:id="40" w:name="_GoBack"/>
      <w:bookmarkEnd w:id="40"/>
    </w:p>
    <w:p>
      <w:pPr>
        <w:spacing w:line="360" w:lineRule="auto"/>
        <w:ind w:left="314"/>
        <w:jc w:val="center"/>
        <w:rPr>
          <w:rFonts w:ascii="微软雅黑" w:hAnsi="微软雅黑" w:eastAsia="微软雅黑"/>
          <w:sz w:val="60"/>
        </w:rPr>
      </w:pPr>
      <w:r>
        <w:rPr>
          <w:rFonts w:hint="eastAsia" w:ascii="微软雅黑" w:hAnsi="微软雅黑" w:eastAsia="微软雅黑"/>
          <w:sz w:val="60"/>
        </w:rPr>
        <w:t>全国中小学生电脑制作活动</w:t>
      </w:r>
    </w:p>
    <w:p>
      <w:pPr>
        <w:spacing w:line="360" w:lineRule="auto"/>
        <w:ind w:left="314"/>
        <w:jc w:val="center"/>
        <w:rPr>
          <w:rFonts w:ascii="微软雅黑" w:hAnsi="微软雅黑" w:eastAsia="微软雅黑"/>
          <w:sz w:val="60"/>
        </w:rPr>
      </w:pPr>
      <w:r>
        <w:rPr>
          <w:rFonts w:hint="eastAsia" w:ascii="微软雅黑" w:hAnsi="微软雅黑" w:eastAsia="微软雅黑"/>
          <w:sz w:val="60"/>
        </w:rPr>
        <w:t>“优创未来”初中组</w:t>
      </w:r>
    </w:p>
    <w:p>
      <w:pPr>
        <w:spacing w:line="360" w:lineRule="auto"/>
        <w:ind w:left="314"/>
        <w:jc w:val="center"/>
        <w:rPr>
          <w:rFonts w:ascii="微软雅黑" w:hAnsi="微软雅黑" w:eastAsia="微软雅黑"/>
          <w:sz w:val="60"/>
        </w:rPr>
      </w:pPr>
      <w:r>
        <w:rPr>
          <w:rFonts w:hint="eastAsia" w:ascii="微软雅黑" w:hAnsi="微软雅黑" w:eastAsia="微软雅黑"/>
          <w:sz w:val="60"/>
        </w:rPr>
        <w:t>赛事规则</w:t>
      </w:r>
    </w:p>
    <w:p>
      <w:pPr>
        <w:pStyle w:val="7"/>
        <w:ind w:left="128" w:right="55" w:firstLine="400"/>
        <w:rPr>
          <w:sz w:val="20"/>
        </w:rPr>
      </w:pPr>
    </w:p>
    <w:p>
      <w:pPr>
        <w:pStyle w:val="7"/>
        <w:ind w:left="128" w:right="55" w:firstLine="400"/>
        <w:rPr>
          <w:sz w:val="20"/>
        </w:rPr>
      </w:pPr>
    </w:p>
    <w:p>
      <w:pPr>
        <w:pStyle w:val="7"/>
        <w:spacing w:before="8"/>
        <w:ind w:left="128" w:right="55" w:firstLine="380"/>
        <w:rPr>
          <w:sz w:val="19"/>
        </w:rPr>
      </w:pPr>
    </w:p>
    <w:p>
      <w:pPr>
        <w:pStyle w:val="7"/>
        <w:spacing w:before="8"/>
        <w:ind w:left="128" w:right="55" w:firstLine="2740"/>
        <w:rPr>
          <w:sz w:val="137"/>
        </w:rPr>
      </w:pPr>
    </w:p>
    <w:p>
      <w:pPr>
        <w:pStyle w:val="7"/>
        <w:spacing w:before="13"/>
        <w:ind w:left="128" w:right="55" w:firstLine="380"/>
        <w:rPr>
          <w:sz w:val="19"/>
        </w:rPr>
      </w:pPr>
    </w:p>
    <w:p>
      <w:pPr>
        <w:spacing w:line="360" w:lineRule="auto"/>
        <w:rPr>
          <w:rFonts w:ascii="微软雅黑" w:hAnsi="微软雅黑" w:eastAsia="微软雅黑"/>
          <w:sz w:val="19"/>
        </w:rPr>
        <w:sectPr>
          <w:type w:val="continuous"/>
          <w:pgSz w:w="11900" w:h="16850"/>
          <w:pgMar w:top="740" w:right="1440" w:bottom="280" w:left="1260" w:header="720" w:footer="720" w:gutter="0"/>
          <w:cols w:space="720" w:num="1"/>
        </w:sectPr>
      </w:pPr>
    </w:p>
    <w:sdt>
      <w:sdtPr>
        <w:rPr>
          <w:rFonts w:ascii="Noto Sans CJK JP Regular" w:hAnsi="Noto Sans CJK JP Regular" w:eastAsia="Noto Sans CJK JP Regular" w:cs="Noto Sans CJK JP Regular"/>
          <w:color w:val="auto"/>
          <w:sz w:val="22"/>
          <w:szCs w:val="22"/>
          <w:lang w:val="zh-CN"/>
        </w:rPr>
        <w:id w:val="1251006194"/>
        <w:docPartObj>
          <w:docPartGallery w:val="Table of Contents"/>
          <w:docPartUnique/>
        </w:docPartObj>
      </w:sdtPr>
      <w:sdtEndPr>
        <w:rPr>
          <w:rFonts w:ascii="微软雅黑" w:hAnsi="微软雅黑" w:eastAsia="微软雅黑" w:cs="Noto Sans CJK JP Regular"/>
          <w:b/>
          <w:bCs/>
          <w:color w:val="auto"/>
          <w:sz w:val="22"/>
          <w:szCs w:val="22"/>
          <w:lang w:val="zh-CN"/>
        </w:rPr>
      </w:sdtEndPr>
      <w:sdtContent>
        <w:p>
          <w:pPr>
            <w:pStyle w:val="30"/>
            <w:jc w:val="center"/>
            <w:rPr>
              <w:rFonts w:ascii="微软雅黑" w:hAnsi="微软雅黑" w:eastAsia="微软雅黑"/>
              <w:b/>
              <w:bCs/>
              <w:sz w:val="44"/>
              <w:szCs w:val="44"/>
            </w:rPr>
          </w:pPr>
          <w:r>
            <w:rPr>
              <w:rFonts w:ascii="微软雅黑" w:hAnsi="微软雅黑" w:eastAsia="微软雅黑"/>
              <w:b/>
              <w:bCs/>
              <w:sz w:val="44"/>
              <w:szCs w:val="44"/>
              <w:lang w:val="zh-CN"/>
            </w:rPr>
            <w:t>目</w:t>
          </w:r>
          <w:r>
            <w:rPr>
              <w:rFonts w:hint="eastAsia" w:ascii="微软雅黑" w:hAnsi="微软雅黑" w:eastAsia="微软雅黑"/>
              <w:b/>
              <w:bCs/>
              <w:sz w:val="44"/>
              <w:szCs w:val="44"/>
              <w:lang w:val="zh-CN"/>
            </w:rPr>
            <w:t xml:space="preserve"> </w:t>
          </w:r>
          <w:r>
            <w:rPr>
              <w:rFonts w:ascii="微软雅黑" w:hAnsi="微软雅黑" w:eastAsia="微软雅黑"/>
              <w:b/>
              <w:bCs/>
              <w:sz w:val="44"/>
              <w:szCs w:val="44"/>
              <w:lang w:val="zh-CN"/>
            </w:rPr>
            <w:t xml:space="preserve">  录</w:t>
          </w:r>
        </w:p>
        <w:p>
          <w:pPr>
            <w:pStyle w:val="12"/>
            <w:tabs>
              <w:tab w:val="right" w:leader="dot" w:pos="9190"/>
            </w:tabs>
            <w:rPr>
              <w:rFonts w:ascii="微软雅黑" w:hAnsi="微软雅黑" w:eastAsia="微软雅黑" w:cstheme="minorBidi"/>
              <w:kern w:val="2"/>
              <w:sz w:val="21"/>
            </w:rPr>
          </w:pPr>
          <w:r>
            <w:rPr>
              <w:rFonts w:ascii="微软雅黑" w:hAnsi="微软雅黑" w:eastAsia="微软雅黑"/>
            </w:rPr>
            <w:fldChar w:fldCharType="begin"/>
          </w:r>
          <w:r>
            <w:rPr>
              <w:rFonts w:ascii="微软雅黑" w:hAnsi="微软雅黑" w:eastAsia="微软雅黑"/>
            </w:rPr>
            <w:instrText xml:space="preserve"> TOC \o "1-3" \h \z \u </w:instrText>
          </w:r>
          <w:r>
            <w:rPr>
              <w:rFonts w:ascii="微软雅黑" w:hAnsi="微软雅黑" w:eastAsia="微软雅黑"/>
            </w:rPr>
            <w:fldChar w:fldCharType="separate"/>
          </w:r>
          <w:r>
            <w:fldChar w:fldCharType="begin"/>
          </w:r>
          <w:r>
            <w:instrText xml:space="preserve"> HYPERLINK \l "_Toc38290905" </w:instrText>
          </w:r>
          <w:r>
            <w:fldChar w:fldCharType="separate"/>
          </w:r>
          <w:r>
            <w:rPr>
              <w:rStyle w:val="19"/>
              <w:rFonts w:ascii="微软雅黑" w:hAnsi="微软雅黑" w:eastAsia="微软雅黑"/>
              <w:w w:val="105"/>
            </w:rPr>
            <w:t>1</w:t>
          </w:r>
          <w:r>
            <w:rPr>
              <w:rStyle w:val="19"/>
              <w:rFonts w:hint="eastAsia" w:ascii="微软雅黑" w:hAnsi="微软雅黑" w:eastAsia="微软雅黑" w:cs="宋体"/>
              <w:w w:val="105"/>
            </w:rPr>
            <w:t>、人工智能知识与技能</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_Toc38290905 \h </w:instrText>
          </w:r>
          <w:r>
            <w:rPr>
              <w:rFonts w:ascii="微软雅黑" w:hAnsi="微软雅黑" w:eastAsia="微软雅黑"/>
            </w:rPr>
            <w:fldChar w:fldCharType="separate"/>
          </w:r>
          <w:r>
            <w:rPr>
              <w:rFonts w:ascii="微软雅黑" w:hAnsi="微软雅黑" w:eastAsia="微软雅黑"/>
            </w:rPr>
            <w:t>3</w:t>
          </w:r>
          <w:r>
            <w:rPr>
              <w:rFonts w:ascii="微软雅黑" w:hAnsi="微软雅黑" w:eastAsia="微软雅黑"/>
            </w:rPr>
            <w:fldChar w:fldCharType="end"/>
          </w:r>
          <w:r>
            <w:rPr>
              <w:rFonts w:ascii="微软雅黑" w:hAnsi="微软雅黑" w:eastAsia="微软雅黑"/>
            </w:rPr>
            <w:fldChar w:fldCharType="end"/>
          </w:r>
        </w:p>
        <w:p>
          <w:pPr>
            <w:pStyle w:val="12"/>
            <w:tabs>
              <w:tab w:val="right" w:leader="dot" w:pos="9190"/>
            </w:tabs>
            <w:rPr>
              <w:rFonts w:ascii="微软雅黑" w:hAnsi="微软雅黑" w:eastAsia="微软雅黑" w:cstheme="minorBidi"/>
              <w:kern w:val="2"/>
              <w:sz w:val="21"/>
            </w:rPr>
          </w:pPr>
          <w:r>
            <w:fldChar w:fldCharType="begin"/>
          </w:r>
          <w:r>
            <w:instrText xml:space="preserve"> HYPERLINK \l "_Toc38290906" </w:instrText>
          </w:r>
          <w:r>
            <w:fldChar w:fldCharType="separate"/>
          </w:r>
          <w:r>
            <w:rPr>
              <w:rStyle w:val="19"/>
              <w:rFonts w:ascii="微软雅黑" w:hAnsi="微软雅黑" w:eastAsia="微软雅黑"/>
            </w:rPr>
            <w:t>2</w:t>
          </w:r>
          <w:r>
            <w:rPr>
              <w:rStyle w:val="19"/>
              <w:rFonts w:hint="eastAsia" w:ascii="微软雅黑" w:hAnsi="微软雅黑" w:eastAsia="微软雅黑" w:cs="宋体"/>
            </w:rPr>
            <w:t>、主题简介</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_Toc38290906 \h </w:instrText>
          </w:r>
          <w:r>
            <w:rPr>
              <w:rFonts w:ascii="微软雅黑" w:hAnsi="微软雅黑" w:eastAsia="微软雅黑"/>
            </w:rPr>
            <w:fldChar w:fldCharType="separate"/>
          </w:r>
          <w:r>
            <w:rPr>
              <w:rFonts w:ascii="微软雅黑" w:hAnsi="微软雅黑" w:eastAsia="微软雅黑"/>
            </w:rPr>
            <w:t>4</w:t>
          </w:r>
          <w:r>
            <w:rPr>
              <w:rFonts w:ascii="微软雅黑" w:hAnsi="微软雅黑" w:eastAsia="微软雅黑"/>
            </w:rPr>
            <w:fldChar w:fldCharType="end"/>
          </w:r>
          <w:r>
            <w:rPr>
              <w:rFonts w:ascii="微软雅黑" w:hAnsi="微软雅黑" w:eastAsia="微软雅黑"/>
            </w:rPr>
            <w:fldChar w:fldCharType="end"/>
          </w:r>
        </w:p>
        <w:p>
          <w:pPr>
            <w:pStyle w:val="12"/>
            <w:tabs>
              <w:tab w:val="right" w:leader="dot" w:pos="9190"/>
            </w:tabs>
            <w:rPr>
              <w:rFonts w:ascii="微软雅黑" w:hAnsi="微软雅黑" w:eastAsia="微软雅黑" w:cstheme="minorBidi"/>
              <w:kern w:val="2"/>
              <w:sz w:val="21"/>
            </w:rPr>
          </w:pPr>
          <w:r>
            <w:fldChar w:fldCharType="begin"/>
          </w:r>
          <w:r>
            <w:instrText xml:space="preserve"> HYPERLINK \l "_Toc38290907" </w:instrText>
          </w:r>
          <w:r>
            <w:fldChar w:fldCharType="separate"/>
          </w:r>
          <w:r>
            <w:rPr>
              <w:rStyle w:val="19"/>
              <w:rFonts w:ascii="微软雅黑" w:hAnsi="微软雅黑" w:eastAsia="微软雅黑"/>
            </w:rPr>
            <w:t>3</w:t>
          </w:r>
          <w:r>
            <w:rPr>
              <w:rStyle w:val="19"/>
              <w:rFonts w:hint="eastAsia" w:ascii="微软雅黑" w:hAnsi="微软雅黑" w:eastAsia="微软雅黑" w:cs="宋体"/>
            </w:rPr>
            <w:t>、参赛要求</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_Toc38290907 \h </w:instrText>
          </w:r>
          <w:r>
            <w:rPr>
              <w:rFonts w:ascii="微软雅黑" w:hAnsi="微软雅黑" w:eastAsia="微软雅黑"/>
            </w:rPr>
            <w:fldChar w:fldCharType="separate"/>
          </w:r>
          <w:r>
            <w:rPr>
              <w:rFonts w:ascii="微软雅黑" w:hAnsi="微软雅黑" w:eastAsia="微软雅黑"/>
            </w:rPr>
            <w:t>4</w:t>
          </w:r>
          <w:r>
            <w:rPr>
              <w:rFonts w:ascii="微软雅黑" w:hAnsi="微软雅黑" w:eastAsia="微软雅黑"/>
            </w:rPr>
            <w:fldChar w:fldCharType="end"/>
          </w:r>
          <w:r>
            <w:rPr>
              <w:rFonts w:ascii="微软雅黑" w:hAnsi="微软雅黑" w:eastAsia="微软雅黑"/>
            </w:rPr>
            <w:fldChar w:fldCharType="end"/>
          </w:r>
        </w:p>
        <w:p>
          <w:pPr>
            <w:pStyle w:val="12"/>
            <w:tabs>
              <w:tab w:val="right" w:leader="dot" w:pos="9190"/>
            </w:tabs>
            <w:rPr>
              <w:rFonts w:ascii="微软雅黑" w:hAnsi="微软雅黑" w:eastAsia="微软雅黑" w:cstheme="minorBidi"/>
              <w:kern w:val="2"/>
              <w:sz w:val="21"/>
            </w:rPr>
          </w:pPr>
          <w:r>
            <w:fldChar w:fldCharType="begin"/>
          </w:r>
          <w:r>
            <w:instrText xml:space="preserve"> HYPERLINK \l "_Toc38290908" </w:instrText>
          </w:r>
          <w:r>
            <w:fldChar w:fldCharType="separate"/>
          </w:r>
          <w:r>
            <w:rPr>
              <w:rStyle w:val="19"/>
              <w:rFonts w:ascii="微软雅黑" w:hAnsi="微软雅黑" w:eastAsia="微软雅黑"/>
            </w:rPr>
            <w:t>4</w:t>
          </w:r>
          <w:r>
            <w:rPr>
              <w:rStyle w:val="19"/>
              <w:rFonts w:hint="eastAsia" w:ascii="微软雅黑" w:hAnsi="微软雅黑" w:eastAsia="微软雅黑" w:cs="宋体"/>
            </w:rPr>
            <w:t>、比赛内容</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_Toc38290908 \h </w:instrText>
          </w:r>
          <w:r>
            <w:rPr>
              <w:rFonts w:ascii="微软雅黑" w:hAnsi="微软雅黑" w:eastAsia="微软雅黑"/>
            </w:rPr>
            <w:fldChar w:fldCharType="separate"/>
          </w:r>
          <w:r>
            <w:rPr>
              <w:rFonts w:ascii="微软雅黑" w:hAnsi="微软雅黑" w:eastAsia="微软雅黑"/>
            </w:rPr>
            <w:t>5</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"_Toc38290909" </w:instrText>
          </w:r>
          <w:r>
            <w:fldChar w:fldCharType="separate"/>
          </w:r>
          <w:r>
            <w:rPr>
              <w:rStyle w:val="19"/>
              <w:rFonts w:ascii="微软雅黑" w:hAnsi="微软雅黑" w:eastAsia="微软雅黑"/>
            </w:rPr>
            <w:t>4.1</w:t>
          </w:r>
          <w:r>
            <w:rPr>
              <w:rStyle w:val="19"/>
              <w:rFonts w:hint="eastAsia" w:ascii="微软雅黑" w:hAnsi="微软雅黑" w:eastAsia="微软雅黑" w:cs="宋体"/>
            </w:rPr>
            <w:t>、比赛场地说明</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_Toc38290909 \h </w:instrText>
          </w:r>
          <w:r>
            <w:rPr>
              <w:rFonts w:ascii="微软雅黑" w:hAnsi="微软雅黑" w:eastAsia="微软雅黑"/>
            </w:rPr>
            <w:fldChar w:fldCharType="separate"/>
          </w:r>
          <w:r>
            <w:rPr>
              <w:rFonts w:ascii="微软雅黑" w:hAnsi="微软雅黑" w:eastAsia="微软雅黑"/>
            </w:rPr>
            <w:t>5</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"_Toc38290910" </w:instrText>
          </w:r>
          <w:r>
            <w:fldChar w:fldCharType="separate"/>
          </w:r>
          <w:r>
            <w:rPr>
              <w:rStyle w:val="19"/>
              <w:rFonts w:ascii="微软雅黑" w:hAnsi="微软雅黑" w:eastAsia="微软雅黑"/>
            </w:rPr>
            <w:t xml:space="preserve">4.2 </w:t>
          </w:r>
          <w:r>
            <w:rPr>
              <w:rStyle w:val="19"/>
              <w:rFonts w:hint="eastAsia" w:ascii="微软雅黑" w:hAnsi="微软雅黑" w:eastAsia="微软雅黑" w:cs="宋体"/>
            </w:rPr>
            <w:t>、场地道具说明</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_Toc38290910 \h </w:instrText>
          </w:r>
          <w:r>
            <w:rPr>
              <w:rFonts w:ascii="微软雅黑" w:hAnsi="微软雅黑" w:eastAsia="微软雅黑"/>
            </w:rPr>
            <w:fldChar w:fldCharType="separate"/>
          </w:r>
          <w:r>
            <w:rPr>
              <w:rFonts w:ascii="微软雅黑" w:hAnsi="微软雅黑" w:eastAsia="微软雅黑"/>
            </w:rPr>
            <w:t>7</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"_Toc38290911" </w:instrText>
          </w:r>
          <w:r>
            <w:fldChar w:fldCharType="separate"/>
          </w:r>
          <w:r>
            <w:rPr>
              <w:rStyle w:val="19"/>
              <w:rFonts w:ascii="微软雅黑" w:hAnsi="微软雅黑" w:eastAsia="微软雅黑"/>
            </w:rPr>
            <w:t xml:space="preserve">4.3 </w:t>
          </w:r>
          <w:r>
            <w:rPr>
              <w:rStyle w:val="19"/>
              <w:rFonts w:hint="eastAsia" w:ascii="微软雅黑" w:hAnsi="微软雅黑" w:eastAsia="微软雅黑" w:cs="宋体"/>
            </w:rPr>
            <w:t>、比赛任务介绍</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_Toc38290911 \h </w:instrText>
          </w:r>
          <w:r>
            <w:rPr>
              <w:rFonts w:ascii="微软雅黑" w:hAnsi="微软雅黑" w:eastAsia="微软雅黑"/>
            </w:rPr>
            <w:fldChar w:fldCharType="separate"/>
          </w:r>
          <w:r>
            <w:rPr>
              <w:rFonts w:ascii="微软雅黑" w:hAnsi="微软雅黑" w:eastAsia="微软雅黑"/>
            </w:rPr>
            <w:t>7</w:t>
          </w:r>
          <w:r>
            <w:rPr>
              <w:rFonts w:ascii="微软雅黑" w:hAnsi="微软雅黑" w:eastAsia="微软雅黑"/>
            </w:rPr>
            <w:fldChar w:fldCharType="end"/>
          </w:r>
          <w:r>
            <w:rPr>
              <w:rFonts w:ascii="微软雅黑" w:hAnsi="微软雅黑" w:eastAsia="微软雅黑"/>
            </w:rPr>
            <w:fldChar w:fldCharType="end"/>
          </w:r>
        </w:p>
        <w:p>
          <w:pPr>
            <w:pStyle w:val="12"/>
            <w:tabs>
              <w:tab w:val="right" w:leader="dot" w:pos="9190"/>
            </w:tabs>
            <w:rPr>
              <w:rFonts w:ascii="微软雅黑" w:hAnsi="微软雅黑" w:eastAsia="微软雅黑" w:cstheme="minorBidi"/>
              <w:kern w:val="2"/>
              <w:sz w:val="21"/>
            </w:rPr>
          </w:pPr>
          <w:r>
            <w:fldChar w:fldCharType="begin"/>
          </w:r>
          <w:r>
            <w:instrText xml:space="preserve"> HYPERLINK \l "_Toc38290912" </w:instrText>
          </w:r>
          <w:r>
            <w:fldChar w:fldCharType="separate"/>
          </w:r>
          <w:r>
            <w:rPr>
              <w:rStyle w:val="19"/>
              <w:rFonts w:ascii="微软雅黑" w:hAnsi="微软雅黑" w:eastAsia="微软雅黑"/>
            </w:rPr>
            <w:t>5</w:t>
          </w:r>
          <w:r>
            <w:rPr>
              <w:rStyle w:val="19"/>
              <w:rFonts w:hint="eastAsia" w:ascii="微软雅黑" w:hAnsi="微软雅黑" w:eastAsia="微软雅黑" w:cs="宋体"/>
            </w:rPr>
            <w:t>、赛事整体流程</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_Toc38290912 \h </w:instrText>
          </w:r>
          <w:r>
            <w:rPr>
              <w:rFonts w:ascii="微软雅黑" w:hAnsi="微软雅黑" w:eastAsia="微软雅黑"/>
            </w:rPr>
            <w:fldChar w:fldCharType="separate"/>
          </w:r>
          <w:r>
            <w:rPr>
              <w:rFonts w:ascii="微软雅黑" w:hAnsi="微软雅黑" w:eastAsia="微软雅黑"/>
            </w:rPr>
            <w:t>12</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"_Toc38290913" </w:instrText>
          </w:r>
          <w:r>
            <w:fldChar w:fldCharType="separate"/>
          </w:r>
          <w:r>
            <w:rPr>
              <w:rStyle w:val="19"/>
              <w:rFonts w:ascii="微软雅黑" w:hAnsi="微软雅黑" w:eastAsia="微软雅黑"/>
            </w:rPr>
            <w:t>5.1</w:t>
          </w:r>
          <w:r>
            <w:rPr>
              <w:rStyle w:val="19"/>
              <w:rFonts w:hint="eastAsia" w:ascii="微软雅黑" w:hAnsi="微软雅黑" w:eastAsia="微软雅黑" w:cs="宋体"/>
            </w:rPr>
            <w:t>、</w:t>
          </w:r>
          <w:r>
            <w:rPr>
              <w:rStyle w:val="19"/>
              <w:rFonts w:ascii="微软雅黑" w:hAnsi="微软雅黑" w:eastAsia="微软雅黑"/>
            </w:rPr>
            <w:t xml:space="preserve"> </w:t>
          </w:r>
          <w:r>
            <w:rPr>
              <w:rStyle w:val="19"/>
              <w:rFonts w:hint="eastAsia" w:ascii="微软雅黑" w:hAnsi="微软雅黑" w:eastAsia="微软雅黑" w:cs="宋体"/>
            </w:rPr>
            <w:t>赛制</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_Toc38290913 \h </w:instrText>
          </w:r>
          <w:r>
            <w:rPr>
              <w:rFonts w:ascii="微软雅黑" w:hAnsi="微软雅黑" w:eastAsia="微软雅黑"/>
            </w:rPr>
            <w:fldChar w:fldCharType="separate"/>
          </w:r>
          <w:r>
            <w:rPr>
              <w:rFonts w:ascii="微软雅黑" w:hAnsi="微软雅黑" w:eastAsia="微软雅黑"/>
            </w:rPr>
            <w:t>12</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"_Toc38290914" </w:instrText>
          </w:r>
          <w:r>
            <w:fldChar w:fldCharType="separate"/>
          </w:r>
          <w:r>
            <w:rPr>
              <w:rStyle w:val="19"/>
              <w:rFonts w:ascii="微软雅黑" w:hAnsi="微软雅黑" w:eastAsia="微软雅黑"/>
            </w:rPr>
            <w:t>5.2</w:t>
          </w:r>
          <w:r>
            <w:rPr>
              <w:rStyle w:val="19"/>
              <w:rFonts w:hint="eastAsia" w:ascii="微软雅黑" w:hAnsi="微软雅黑" w:eastAsia="微软雅黑" w:cs="宋体"/>
            </w:rPr>
            <w:t>、</w:t>
          </w:r>
          <w:r>
            <w:rPr>
              <w:rStyle w:val="19"/>
              <w:rFonts w:ascii="微软雅黑" w:hAnsi="微软雅黑" w:eastAsia="微软雅黑"/>
            </w:rPr>
            <w:t xml:space="preserve"> </w:t>
          </w:r>
          <w:r>
            <w:rPr>
              <w:rStyle w:val="19"/>
              <w:rFonts w:hint="eastAsia" w:ascii="微软雅黑" w:hAnsi="微软雅黑" w:eastAsia="微软雅黑" w:cs="宋体"/>
            </w:rPr>
            <w:t>队伍报到、检录</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_Toc38290914 \h </w:instrText>
          </w:r>
          <w:r>
            <w:rPr>
              <w:rFonts w:ascii="微软雅黑" w:hAnsi="微软雅黑" w:eastAsia="微软雅黑"/>
            </w:rPr>
            <w:fldChar w:fldCharType="separate"/>
          </w:r>
          <w:r>
            <w:rPr>
              <w:rFonts w:ascii="微软雅黑" w:hAnsi="微软雅黑" w:eastAsia="微软雅黑"/>
            </w:rPr>
            <w:t>12</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"_Toc38290915" </w:instrText>
          </w:r>
          <w:r>
            <w:fldChar w:fldCharType="separate"/>
          </w:r>
          <w:r>
            <w:rPr>
              <w:rStyle w:val="19"/>
              <w:rFonts w:ascii="微软雅黑" w:hAnsi="微软雅黑" w:eastAsia="微软雅黑"/>
            </w:rPr>
            <w:t>5.3</w:t>
          </w:r>
          <w:r>
            <w:rPr>
              <w:rStyle w:val="19"/>
              <w:rFonts w:hint="eastAsia" w:ascii="微软雅黑" w:hAnsi="微软雅黑" w:eastAsia="微软雅黑" w:cs="宋体"/>
            </w:rPr>
            <w:t>、</w:t>
          </w:r>
          <w:r>
            <w:rPr>
              <w:rStyle w:val="19"/>
              <w:rFonts w:ascii="微软雅黑" w:hAnsi="微软雅黑" w:eastAsia="微软雅黑"/>
            </w:rPr>
            <w:t xml:space="preserve"> </w:t>
          </w:r>
          <w:r>
            <w:rPr>
              <w:rStyle w:val="19"/>
              <w:rFonts w:hint="eastAsia" w:ascii="微软雅黑" w:hAnsi="微软雅黑" w:eastAsia="微软雅黑" w:cs="宋体"/>
            </w:rPr>
            <w:t>调试准备</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_Toc38290915 \h </w:instrText>
          </w:r>
          <w:r>
            <w:rPr>
              <w:rFonts w:ascii="微软雅黑" w:hAnsi="微软雅黑" w:eastAsia="微软雅黑"/>
            </w:rPr>
            <w:fldChar w:fldCharType="separate"/>
          </w:r>
          <w:r>
            <w:rPr>
              <w:rFonts w:ascii="微软雅黑" w:hAnsi="微软雅黑" w:eastAsia="微软雅黑"/>
            </w:rPr>
            <w:t>12</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"_Toc38290916" </w:instrText>
          </w:r>
          <w:r>
            <w:fldChar w:fldCharType="separate"/>
          </w:r>
          <w:r>
            <w:rPr>
              <w:rStyle w:val="19"/>
              <w:rFonts w:ascii="微软雅黑" w:hAnsi="微软雅黑" w:eastAsia="微软雅黑"/>
            </w:rPr>
            <w:t>5.4</w:t>
          </w:r>
          <w:r>
            <w:rPr>
              <w:rStyle w:val="19"/>
              <w:rFonts w:hint="eastAsia" w:ascii="微软雅黑" w:hAnsi="微软雅黑" w:eastAsia="微软雅黑" w:cs="宋体"/>
            </w:rPr>
            <w:t>、</w:t>
          </w:r>
          <w:r>
            <w:rPr>
              <w:rStyle w:val="19"/>
              <w:rFonts w:ascii="微软雅黑" w:hAnsi="微软雅黑" w:eastAsia="微软雅黑"/>
            </w:rPr>
            <w:t xml:space="preserve"> </w:t>
          </w:r>
          <w:r>
            <w:rPr>
              <w:rStyle w:val="19"/>
              <w:rFonts w:hint="eastAsia" w:ascii="微软雅黑" w:hAnsi="微软雅黑" w:eastAsia="微软雅黑" w:cs="宋体"/>
            </w:rPr>
            <w:t>赛前确认</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_Toc38290916 \h </w:instrText>
          </w:r>
          <w:r>
            <w:rPr>
              <w:rFonts w:ascii="微软雅黑" w:hAnsi="微软雅黑" w:eastAsia="微软雅黑"/>
            </w:rPr>
            <w:fldChar w:fldCharType="separate"/>
          </w:r>
          <w:r>
            <w:rPr>
              <w:rFonts w:ascii="微软雅黑" w:hAnsi="微软雅黑" w:eastAsia="微软雅黑"/>
            </w:rPr>
            <w:t>13</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"_Toc38290917" </w:instrText>
          </w:r>
          <w:r>
            <w:fldChar w:fldCharType="separate"/>
          </w:r>
          <w:r>
            <w:rPr>
              <w:rStyle w:val="19"/>
              <w:rFonts w:ascii="微软雅黑" w:hAnsi="微软雅黑" w:eastAsia="微软雅黑"/>
            </w:rPr>
            <w:t>5.5</w:t>
          </w:r>
          <w:r>
            <w:rPr>
              <w:rStyle w:val="19"/>
              <w:rFonts w:hint="eastAsia" w:ascii="微软雅黑" w:hAnsi="微软雅黑" w:eastAsia="微软雅黑" w:cs="宋体"/>
            </w:rPr>
            <w:t>、</w:t>
          </w:r>
          <w:r>
            <w:rPr>
              <w:rStyle w:val="19"/>
              <w:rFonts w:ascii="微软雅黑" w:hAnsi="微软雅黑" w:eastAsia="微软雅黑"/>
            </w:rPr>
            <w:t xml:space="preserve"> </w:t>
          </w:r>
          <w:r>
            <w:rPr>
              <w:rStyle w:val="19"/>
              <w:rFonts w:hint="eastAsia" w:ascii="微软雅黑" w:hAnsi="微软雅黑" w:eastAsia="微软雅黑" w:cs="宋体"/>
            </w:rPr>
            <w:t>进行比赛</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_Toc38290917 \h </w:instrText>
          </w:r>
          <w:r>
            <w:rPr>
              <w:rFonts w:ascii="微软雅黑" w:hAnsi="微软雅黑" w:eastAsia="微软雅黑"/>
            </w:rPr>
            <w:fldChar w:fldCharType="separate"/>
          </w:r>
          <w:r>
            <w:rPr>
              <w:rFonts w:ascii="微软雅黑" w:hAnsi="微软雅黑" w:eastAsia="微软雅黑"/>
            </w:rPr>
            <w:t>13</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"_Toc38290918" </w:instrText>
          </w:r>
          <w:r>
            <w:fldChar w:fldCharType="separate"/>
          </w:r>
          <w:r>
            <w:rPr>
              <w:rStyle w:val="19"/>
              <w:rFonts w:ascii="微软雅黑" w:hAnsi="微软雅黑" w:eastAsia="微软雅黑"/>
            </w:rPr>
            <w:t>5.6</w:t>
          </w:r>
          <w:r>
            <w:rPr>
              <w:rStyle w:val="19"/>
              <w:rFonts w:hint="eastAsia" w:ascii="微软雅黑" w:hAnsi="微软雅黑" w:eastAsia="微软雅黑" w:cs="宋体"/>
            </w:rPr>
            <w:t>、</w:t>
          </w:r>
          <w:r>
            <w:rPr>
              <w:rStyle w:val="19"/>
              <w:rFonts w:ascii="微软雅黑" w:hAnsi="微软雅黑" w:eastAsia="微软雅黑"/>
            </w:rPr>
            <w:t xml:space="preserve">  </w:t>
          </w:r>
          <w:r>
            <w:rPr>
              <w:rStyle w:val="19"/>
              <w:rFonts w:hint="eastAsia" w:ascii="微软雅黑" w:hAnsi="微软雅黑" w:eastAsia="微软雅黑" w:cs="宋体"/>
            </w:rPr>
            <w:t>成绩确认</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_Toc38290918 \h </w:instrText>
          </w:r>
          <w:r>
            <w:rPr>
              <w:rFonts w:ascii="微软雅黑" w:hAnsi="微软雅黑" w:eastAsia="微软雅黑"/>
            </w:rPr>
            <w:fldChar w:fldCharType="separate"/>
          </w:r>
          <w:r>
            <w:rPr>
              <w:rFonts w:ascii="微软雅黑" w:hAnsi="微软雅黑" w:eastAsia="微软雅黑"/>
            </w:rPr>
            <w:t>13</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"_Toc38290919" </w:instrText>
          </w:r>
          <w:r>
            <w:fldChar w:fldCharType="separate"/>
          </w:r>
          <w:r>
            <w:rPr>
              <w:rStyle w:val="19"/>
              <w:rFonts w:ascii="微软雅黑" w:hAnsi="微软雅黑" w:eastAsia="微软雅黑"/>
            </w:rPr>
            <w:t>5.7</w:t>
          </w:r>
          <w:r>
            <w:rPr>
              <w:rStyle w:val="19"/>
              <w:rFonts w:hint="eastAsia" w:ascii="微软雅黑" w:hAnsi="微软雅黑" w:eastAsia="微软雅黑" w:cs="宋体"/>
            </w:rPr>
            <w:t>、</w:t>
          </w:r>
          <w:r>
            <w:rPr>
              <w:rStyle w:val="19"/>
              <w:rFonts w:ascii="微软雅黑" w:hAnsi="微软雅黑" w:eastAsia="微软雅黑"/>
            </w:rPr>
            <w:t xml:space="preserve">  </w:t>
          </w:r>
          <w:r>
            <w:rPr>
              <w:rStyle w:val="19"/>
              <w:rFonts w:hint="eastAsia" w:ascii="微软雅黑" w:hAnsi="微软雅黑" w:eastAsia="微软雅黑" w:cs="宋体"/>
            </w:rPr>
            <w:t>单轮比赛流程图</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_Toc38290919 \h </w:instrText>
          </w:r>
          <w:r>
            <w:rPr>
              <w:rFonts w:ascii="微软雅黑" w:hAnsi="微软雅黑" w:eastAsia="微软雅黑"/>
            </w:rPr>
            <w:fldChar w:fldCharType="separate"/>
          </w:r>
          <w:r>
            <w:rPr>
              <w:rFonts w:ascii="微软雅黑" w:hAnsi="微软雅黑" w:eastAsia="微软雅黑"/>
            </w:rPr>
            <w:t>14</w:t>
          </w:r>
          <w:r>
            <w:rPr>
              <w:rFonts w:ascii="微软雅黑" w:hAnsi="微软雅黑" w:eastAsia="微软雅黑"/>
            </w:rPr>
            <w:fldChar w:fldCharType="end"/>
          </w:r>
          <w:r>
            <w:rPr>
              <w:rFonts w:ascii="微软雅黑" w:hAnsi="微软雅黑" w:eastAsia="微软雅黑"/>
            </w:rPr>
            <w:fldChar w:fldCharType="end"/>
          </w:r>
        </w:p>
        <w:p>
          <w:pPr>
            <w:pStyle w:val="12"/>
            <w:tabs>
              <w:tab w:val="right" w:leader="dot" w:pos="9190"/>
            </w:tabs>
            <w:rPr>
              <w:rFonts w:ascii="微软雅黑" w:hAnsi="微软雅黑" w:eastAsia="微软雅黑" w:cstheme="minorBidi"/>
              <w:kern w:val="2"/>
              <w:sz w:val="21"/>
            </w:rPr>
          </w:pPr>
          <w:r>
            <w:fldChar w:fldCharType="begin"/>
          </w:r>
          <w:r>
            <w:instrText xml:space="preserve"> HYPERLINK \l "_Toc38290920" </w:instrText>
          </w:r>
          <w:r>
            <w:fldChar w:fldCharType="separate"/>
          </w:r>
          <w:r>
            <w:rPr>
              <w:rStyle w:val="19"/>
              <w:rFonts w:ascii="微软雅黑" w:hAnsi="微软雅黑" w:eastAsia="微软雅黑"/>
            </w:rPr>
            <w:t>6</w:t>
          </w:r>
          <w:r>
            <w:rPr>
              <w:rStyle w:val="19"/>
              <w:rFonts w:hint="eastAsia" w:ascii="微软雅黑" w:hAnsi="微软雅黑" w:eastAsia="微软雅黑" w:cs="宋体"/>
            </w:rPr>
            <w:t>、赛事规则</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_Toc38290920 \h </w:instrText>
          </w:r>
          <w:r>
            <w:rPr>
              <w:rFonts w:ascii="微软雅黑" w:hAnsi="微软雅黑" w:eastAsia="微软雅黑"/>
            </w:rPr>
            <w:fldChar w:fldCharType="separate"/>
          </w:r>
          <w:r>
            <w:rPr>
              <w:rFonts w:ascii="微软雅黑" w:hAnsi="微软雅黑" w:eastAsia="微软雅黑"/>
            </w:rPr>
            <w:t>15</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"_Toc38290921" </w:instrText>
          </w:r>
          <w:r>
            <w:fldChar w:fldCharType="separate"/>
          </w:r>
          <w:r>
            <w:rPr>
              <w:rStyle w:val="19"/>
              <w:rFonts w:ascii="微软雅黑" w:hAnsi="微软雅黑" w:eastAsia="微软雅黑"/>
            </w:rPr>
            <w:t>6.1</w:t>
          </w:r>
          <w:r>
            <w:rPr>
              <w:rStyle w:val="19"/>
              <w:rFonts w:hint="eastAsia" w:ascii="微软雅黑" w:hAnsi="微软雅黑" w:eastAsia="微软雅黑" w:cs="宋体"/>
            </w:rPr>
            <w:t>、技术规则</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_Toc38290921 \h </w:instrText>
          </w:r>
          <w:r>
            <w:rPr>
              <w:rFonts w:ascii="微软雅黑" w:hAnsi="微软雅黑" w:eastAsia="微软雅黑"/>
            </w:rPr>
            <w:fldChar w:fldCharType="separate"/>
          </w:r>
          <w:r>
            <w:rPr>
              <w:rFonts w:ascii="微软雅黑" w:hAnsi="微软雅黑" w:eastAsia="微软雅黑"/>
            </w:rPr>
            <w:t>15</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"_Toc38290922" </w:instrText>
          </w:r>
          <w:r>
            <w:fldChar w:fldCharType="separate"/>
          </w:r>
          <w:r>
            <w:rPr>
              <w:rStyle w:val="19"/>
              <w:rFonts w:ascii="微软雅黑" w:hAnsi="微软雅黑" w:eastAsia="微软雅黑"/>
            </w:rPr>
            <w:t>6.2</w:t>
          </w:r>
          <w:r>
            <w:rPr>
              <w:rStyle w:val="19"/>
              <w:rFonts w:hint="eastAsia" w:ascii="微软雅黑" w:hAnsi="微软雅黑" w:eastAsia="微软雅黑" w:cs="宋体"/>
            </w:rPr>
            <w:t>、比赛规则</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_Toc38290922 \h </w:instrText>
          </w:r>
          <w:r>
            <w:rPr>
              <w:rFonts w:ascii="微软雅黑" w:hAnsi="微软雅黑" w:eastAsia="微软雅黑"/>
            </w:rPr>
            <w:fldChar w:fldCharType="separate"/>
          </w:r>
          <w:r>
            <w:rPr>
              <w:rFonts w:ascii="微软雅黑" w:hAnsi="微软雅黑" w:eastAsia="微软雅黑"/>
            </w:rPr>
            <w:t>15</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"_Toc38290923" </w:instrText>
          </w:r>
          <w:r>
            <w:fldChar w:fldCharType="separate"/>
          </w:r>
          <w:r>
            <w:rPr>
              <w:rStyle w:val="19"/>
              <w:rFonts w:ascii="微软雅黑" w:hAnsi="微软雅黑" w:eastAsia="微软雅黑"/>
            </w:rPr>
            <w:t>6.3</w:t>
          </w:r>
          <w:r>
            <w:rPr>
              <w:rStyle w:val="19"/>
              <w:rFonts w:hint="eastAsia" w:ascii="微软雅黑" w:hAnsi="微软雅黑" w:eastAsia="微软雅黑" w:cs="宋体"/>
            </w:rPr>
            <w:t>、参赛选手规则</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_Toc38290923 \h </w:instrText>
          </w:r>
          <w:r>
            <w:rPr>
              <w:rFonts w:ascii="微软雅黑" w:hAnsi="微软雅黑" w:eastAsia="微软雅黑"/>
            </w:rPr>
            <w:fldChar w:fldCharType="separate"/>
          </w:r>
          <w:r>
            <w:rPr>
              <w:rFonts w:ascii="微软雅黑" w:hAnsi="微软雅黑" w:eastAsia="微软雅黑"/>
            </w:rPr>
            <w:t>16</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"_Toc38290924" </w:instrText>
          </w:r>
          <w:r>
            <w:fldChar w:fldCharType="separate"/>
          </w:r>
          <w:r>
            <w:rPr>
              <w:rStyle w:val="19"/>
              <w:rFonts w:ascii="微软雅黑" w:hAnsi="微软雅黑" w:eastAsia="微软雅黑"/>
            </w:rPr>
            <w:t>6.4</w:t>
          </w:r>
          <w:r>
            <w:rPr>
              <w:rStyle w:val="19"/>
              <w:rFonts w:hint="eastAsia" w:ascii="微软雅黑" w:hAnsi="微软雅黑" w:eastAsia="微软雅黑" w:cs="宋体"/>
            </w:rPr>
            <w:t>、最终成绩</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_Toc38290924 \h </w:instrText>
          </w:r>
          <w:r>
            <w:rPr>
              <w:rFonts w:ascii="微软雅黑" w:hAnsi="微软雅黑" w:eastAsia="微软雅黑"/>
            </w:rPr>
            <w:fldChar w:fldCharType="separate"/>
          </w:r>
          <w:r>
            <w:rPr>
              <w:rFonts w:ascii="微软雅黑" w:hAnsi="微软雅黑" w:eastAsia="微软雅黑"/>
            </w:rPr>
            <w:t>17</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"_Toc38290925" </w:instrText>
          </w:r>
          <w:r>
            <w:fldChar w:fldCharType="separate"/>
          </w:r>
          <w:r>
            <w:rPr>
              <w:rStyle w:val="19"/>
              <w:rFonts w:ascii="微软雅黑" w:hAnsi="微软雅黑" w:eastAsia="微软雅黑"/>
            </w:rPr>
            <w:t>6.5</w:t>
          </w:r>
          <w:r>
            <w:rPr>
              <w:rStyle w:val="19"/>
              <w:rFonts w:hint="eastAsia" w:ascii="微软雅黑" w:hAnsi="微软雅黑" w:eastAsia="微软雅黑" w:cs="宋体"/>
            </w:rPr>
            <w:t>、异常状态</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_Toc38290925 \h </w:instrText>
          </w:r>
          <w:r>
            <w:rPr>
              <w:rFonts w:ascii="微软雅黑" w:hAnsi="微软雅黑" w:eastAsia="微软雅黑"/>
            </w:rPr>
            <w:fldChar w:fldCharType="separate"/>
          </w:r>
          <w:r>
            <w:rPr>
              <w:rFonts w:ascii="微软雅黑" w:hAnsi="微软雅黑" w:eastAsia="微软雅黑"/>
            </w:rPr>
            <w:t>18</w:t>
          </w:r>
          <w:r>
            <w:rPr>
              <w:rFonts w:ascii="微软雅黑" w:hAnsi="微软雅黑" w:eastAsia="微软雅黑"/>
            </w:rPr>
            <w:fldChar w:fldCharType="end"/>
          </w:r>
          <w:r>
            <w:rPr>
              <w:rFonts w:ascii="微软雅黑" w:hAnsi="微软雅黑" w:eastAsia="微软雅黑"/>
            </w:rPr>
            <w:fldChar w:fldCharType="end"/>
          </w:r>
        </w:p>
        <w:p>
          <w:pPr>
            <w:pStyle w:val="13"/>
            <w:tabs>
              <w:tab w:val="right" w:leader="dot" w:pos="9190"/>
            </w:tabs>
            <w:rPr>
              <w:rFonts w:ascii="微软雅黑" w:hAnsi="微软雅黑" w:eastAsia="微软雅黑" w:cstheme="minorBidi"/>
              <w:kern w:val="2"/>
              <w:sz w:val="21"/>
            </w:rPr>
          </w:pPr>
          <w:r>
            <w:fldChar w:fldCharType="begin"/>
          </w:r>
          <w:r>
            <w:instrText xml:space="preserve"> HYPERLINK \l "_Toc38290926" </w:instrText>
          </w:r>
          <w:r>
            <w:fldChar w:fldCharType="separate"/>
          </w:r>
          <w:r>
            <w:rPr>
              <w:rStyle w:val="19"/>
              <w:rFonts w:ascii="微软雅黑" w:hAnsi="微软雅黑" w:eastAsia="微软雅黑"/>
            </w:rPr>
            <w:t>6.6</w:t>
          </w:r>
          <w:r>
            <w:rPr>
              <w:rStyle w:val="19"/>
              <w:rFonts w:hint="eastAsia" w:ascii="微软雅黑" w:hAnsi="微软雅黑" w:eastAsia="微软雅黑" w:cs="宋体"/>
            </w:rPr>
            <w:t>、队伍申诉</w:t>
          </w:r>
          <w:r>
            <w:rPr>
              <w:rFonts w:ascii="微软雅黑" w:hAnsi="微软雅黑" w:eastAsia="微软雅黑"/>
            </w:rPr>
            <w:tab/>
          </w:r>
          <w:r>
            <w:rPr>
              <w:rFonts w:ascii="微软雅黑" w:hAnsi="微软雅黑" w:eastAsia="微软雅黑"/>
            </w:rPr>
            <w:fldChar w:fldCharType="begin"/>
          </w:r>
          <w:r>
            <w:rPr>
              <w:rFonts w:ascii="微软雅黑" w:hAnsi="微软雅黑" w:eastAsia="微软雅黑"/>
            </w:rPr>
            <w:instrText xml:space="preserve"> PAGEREF _Toc38290926 \h </w:instrText>
          </w:r>
          <w:r>
            <w:rPr>
              <w:rFonts w:ascii="微软雅黑" w:hAnsi="微软雅黑" w:eastAsia="微软雅黑"/>
            </w:rPr>
            <w:fldChar w:fldCharType="separate"/>
          </w:r>
          <w:r>
            <w:rPr>
              <w:rFonts w:ascii="微软雅黑" w:hAnsi="微软雅黑" w:eastAsia="微软雅黑"/>
            </w:rPr>
            <w:t>18</w:t>
          </w:r>
          <w:r>
            <w:rPr>
              <w:rFonts w:ascii="微软雅黑" w:hAnsi="微软雅黑" w:eastAsia="微软雅黑"/>
            </w:rPr>
            <w:fldChar w:fldCharType="end"/>
          </w:r>
          <w:r>
            <w:rPr>
              <w:rFonts w:ascii="微软雅黑" w:hAnsi="微软雅黑" w:eastAsia="微软雅黑"/>
            </w:rPr>
            <w:fldChar w:fldCharType="end"/>
          </w:r>
        </w:p>
        <w:p>
          <w:pPr>
            <w:rPr>
              <w:rFonts w:ascii="微软雅黑" w:hAnsi="微软雅黑" w:eastAsia="微软雅黑"/>
            </w:rPr>
            <w:sectPr>
              <w:headerReference r:id="rId3" w:type="default"/>
              <w:footerReference r:id="rId4" w:type="default"/>
              <w:pgSz w:w="11900" w:h="16850"/>
              <w:pgMar w:top="1760" w:right="1440" w:bottom="1460" w:left="1260" w:header="737" w:footer="1268" w:gutter="0"/>
              <w:cols w:space="720" w:num="1"/>
            </w:sectPr>
          </w:pPr>
          <w:r>
            <w:rPr>
              <w:rFonts w:ascii="微软雅黑" w:hAnsi="微软雅黑" w:eastAsia="微软雅黑"/>
              <w:b/>
              <w:bCs/>
              <w:lang w:val="zh-CN"/>
            </w:rPr>
            <w:fldChar w:fldCharType="end"/>
          </w:r>
        </w:p>
      </w:sdtContent>
    </w:sdt>
    <w:p>
      <w:pPr>
        <w:pStyle w:val="2"/>
      </w:pPr>
      <w:bookmarkStart w:id="0" w:name="_TOC_250021"/>
      <w:bookmarkEnd w:id="0"/>
      <w:bookmarkStart w:id="1" w:name="_Toc38290905"/>
      <w:r>
        <w:rPr>
          <w:w w:val="105"/>
        </w:rPr>
        <w:t>1、</w:t>
      </w:r>
      <w:r>
        <w:rPr>
          <w:rFonts w:hint="eastAsia"/>
          <w:w w:val="105"/>
        </w:rPr>
        <w:t>人工智能知识与技能</w:t>
      </w:r>
      <w:bookmarkEnd w:id="1"/>
    </w:p>
    <w:p>
      <w:pPr>
        <w:pStyle w:val="7"/>
        <w:spacing w:before="88"/>
        <w:ind w:left="128" w:right="55" w:firstLine="480"/>
      </w:pPr>
      <w:r>
        <w:drawing>
          <wp:anchor distT="0" distB="0" distL="114300" distR="114300" simplePos="0" relativeHeight="251658240" behindDoc="0" locked="0" layoutInCell="1" allowOverlap="1">
            <wp:simplePos x="0" y="0"/>
            <wp:positionH relativeFrom="column">
              <wp:posOffset>1181100</wp:posOffset>
            </wp:positionH>
            <wp:positionV relativeFrom="paragraph">
              <wp:posOffset>126365</wp:posOffset>
            </wp:positionV>
            <wp:extent cx="3238500" cy="3238500"/>
            <wp:effectExtent l="0" t="0" r="0" b="0"/>
            <wp:wrapSquare wrapText="bothSides"/>
            <wp:docPr id="2" name="图片 15"/>
            <wp:cNvGraphicFramePr/>
            <a:graphic xmlns:a="http://schemas.openxmlformats.org/drawingml/2006/main">
              <a:graphicData uri="http://schemas.openxmlformats.org/drawingml/2006/picture">
                <pic:pic xmlns:pic="http://schemas.openxmlformats.org/drawingml/2006/picture">
                  <pic:nvPicPr>
                    <pic:cNvPr id="2" name="图片 15"/>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3238500" cy="3238500"/>
                    </a:xfrm>
                    <a:prstGeom prst="rect">
                      <a:avLst/>
                    </a:prstGeom>
                    <a:noFill/>
                    <a:ln>
                      <a:noFill/>
                    </a:ln>
                  </pic:spPr>
                </pic:pic>
              </a:graphicData>
            </a:graphic>
          </wp:anchor>
        </w:drawing>
      </w:r>
    </w:p>
    <w:p>
      <w:pPr>
        <w:pStyle w:val="7"/>
        <w:spacing w:before="88"/>
        <w:ind w:left="128" w:right="55" w:firstLine="480"/>
        <w:jc w:val="center"/>
      </w:pPr>
    </w:p>
    <w:p>
      <w:pPr>
        <w:pStyle w:val="7"/>
        <w:spacing w:before="88"/>
        <w:ind w:left="128" w:right="55" w:firstLine="480"/>
        <w:jc w:val="center"/>
      </w:pPr>
    </w:p>
    <w:p>
      <w:pPr>
        <w:pStyle w:val="7"/>
        <w:spacing w:before="88"/>
        <w:ind w:left="128" w:right="55" w:firstLine="480"/>
        <w:jc w:val="center"/>
      </w:pPr>
    </w:p>
    <w:p>
      <w:pPr>
        <w:pStyle w:val="7"/>
        <w:spacing w:before="88"/>
        <w:ind w:left="128" w:right="55" w:firstLine="480"/>
        <w:jc w:val="center"/>
      </w:pPr>
    </w:p>
    <w:p>
      <w:pPr>
        <w:pStyle w:val="7"/>
        <w:spacing w:before="88"/>
        <w:ind w:left="128" w:right="55" w:firstLine="480"/>
        <w:jc w:val="center"/>
      </w:pPr>
    </w:p>
    <w:p>
      <w:pPr>
        <w:pStyle w:val="7"/>
        <w:spacing w:before="88"/>
        <w:ind w:left="128" w:right="55" w:firstLine="480"/>
        <w:jc w:val="center"/>
      </w:pPr>
    </w:p>
    <w:p>
      <w:pPr>
        <w:pStyle w:val="7"/>
        <w:spacing w:before="88"/>
        <w:ind w:left="128" w:right="55" w:firstLine="480"/>
        <w:jc w:val="center"/>
      </w:pPr>
    </w:p>
    <w:p>
      <w:pPr>
        <w:pStyle w:val="22"/>
        <w:ind w:firstLine="480"/>
      </w:pPr>
      <w:r>
        <w:t>“优创未来”初中项目综合三大AI应用：</w:t>
      </w:r>
    </w:p>
    <w:p>
      <w:pPr>
        <w:pStyle w:val="22"/>
        <w:numPr>
          <w:ilvl w:val="0"/>
          <w:numId w:val="1"/>
        </w:numPr>
        <w:ind w:firstLineChars="0"/>
      </w:pPr>
      <w:r>
        <w:t>无人驾驶：通过车载视觉系统感知道路环境，在活动地图上自动规划行车路线并控制车辆到达预定的目的地。过程中车辆完全自主运行，无人为遥控内容。</w:t>
      </w:r>
    </w:p>
    <w:p>
      <w:pPr>
        <w:pStyle w:val="22"/>
        <w:numPr>
          <w:ilvl w:val="0"/>
          <w:numId w:val="1"/>
        </w:numPr>
        <w:ind w:firstLineChars="0"/>
      </w:pPr>
      <w:r>
        <w:t>运动控制：运动控制是自动化的一个分支，车辆根据车载摄像头获取的场地信息进行决策，自动调整车轮的方向和速率，保证车辆行驶在道路的两条实线之间，遵守交通规则。</w:t>
      </w:r>
    </w:p>
    <w:p>
      <w:pPr>
        <w:pStyle w:val="22"/>
        <w:numPr>
          <w:ilvl w:val="0"/>
          <w:numId w:val="1"/>
        </w:numPr>
        <w:ind w:firstLineChars="0"/>
      </w:pPr>
      <w:r>
        <w:t>机器视觉应用：机器视觉是将大量真实场景转化为图像信号，通过图像处理系统提取图片中的特征，基于特征信息完成模型的训练，在运用中实现特征的准确识别和判断。使用颜色</w:t>
      </w:r>
      <w:r>
        <w:rPr>
          <w:rFonts w:hint="eastAsia"/>
        </w:rPr>
        <w:t>识别技术和</w:t>
      </w:r>
      <w:r>
        <w:t>形状识别技术，通过图像处理系统处理摄像头获得的图像，实现准确地识别道路两侧实线进而分析路况；通过目标追踪技术，控制舵机的转动来转动摄像头，在场地上准确地找到交通标志牌；通过图像识别技术，调用训练好的模型，精准地识别交通标志牌上的图案。</w:t>
      </w:r>
    </w:p>
    <w:p>
      <w:pPr>
        <w:pStyle w:val="2"/>
      </w:pPr>
      <w:bookmarkStart w:id="2" w:name="_Toc38290906"/>
      <w:r>
        <w:t>2、</w:t>
      </w:r>
      <w:r>
        <w:rPr>
          <w:rFonts w:hint="eastAsia"/>
        </w:rPr>
        <w:t>主题简介</w:t>
      </w:r>
      <w:bookmarkEnd w:id="2"/>
    </w:p>
    <w:p>
      <w:pPr>
        <w:pStyle w:val="22"/>
        <w:ind w:firstLine="480"/>
      </w:pPr>
      <w:r>
        <w:t>交通安全是我们日常生活中需要重视的问题，据统计，我国每年交通事故死亡人数已经超过了10万人。而</w:t>
      </w:r>
      <w:r>
        <w:rPr>
          <w:rFonts w:hint="eastAsia"/>
        </w:rPr>
        <w:t>学生</w:t>
      </w:r>
      <w:r>
        <w:t>是我们祖国的未来，</w:t>
      </w:r>
      <w:r>
        <w:rPr>
          <w:rFonts w:hint="eastAsia"/>
        </w:rPr>
        <w:t>学生</w:t>
      </w:r>
      <w:r>
        <w:t>在上下学路途中的交通安全尤为重要。美国在这个方面的工作值得我们学习，美国校车因为其坚固安全的设计，是全美最安全的车辆。校车的死亡率是0.2人每一百万英里，而其他汽车的死亡率是1.6人每一百万英里。与采用其他方式上下学相比，校车的安全系数是其他方式的十倍。另一方面，如今火热的“无人驾驶技术”也是主打“安全稳定”的特点，因为很多交通事故都是因为驾驶员的疏忽大意，而“无人驾驶”正是避免了这些情况。那么，“校车”和“无人驾驶”结合起来，是否能进一步保证</w:t>
      </w:r>
      <w:r>
        <w:rPr>
          <w:rFonts w:hint="eastAsia"/>
        </w:rPr>
        <w:t>学生</w:t>
      </w:r>
      <w:r>
        <w:t>在上下学时候的安全性呢？</w:t>
      </w:r>
    </w:p>
    <w:p>
      <w:pPr>
        <w:pStyle w:val="2"/>
      </w:pPr>
      <w:bookmarkStart w:id="3" w:name="_TOC_250019"/>
      <w:bookmarkEnd w:id="3"/>
      <w:bookmarkStart w:id="4" w:name="_Toc38290907"/>
      <w:r>
        <w:t>3、参赛要求</w:t>
      </w:r>
      <w:bookmarkEnd w:id="4"/>
    </w:p>
    <w:p>
      <w:pPr>
        <w:pStyle w:val="22"/>
        <w:ind w:left="749" w:firstLine="480"/>
      </w:pPr>
      <w:r>
        <w:t>每支队伍应由2名队员</w:t>
      </w:r>
      <w:r>
        <w:rPr>
          <w:rFonts w:hint="eastAsia"/>
        </w:rPr>
        <w:t>（队员为初中在校学生）和1名指导教师组成</w:t>
      </w:r>
      <w:r>
        <w:t>。</w:t>
      </w:r>
    </w:p>
    <w:p>
      <w:pPr>
        <w:rPr>
          <w:rFonts w:ascii="微软雅黑" w:hAnsi="微软雅黑" w:eastAsia="微软雅黑" w:cs="微软雅黑"/>
          <w:b/>
          <w:sz w:val="36"/>
          <w:szCs w:val="36"/>
        </w:rPr>
      </w:pPr>
      <w:r>
        <w:br w:type="page"/>
      </w:r>
    </w:p>
    <w:p>
      <w:pPr>
        <w:pStyle w:val="2"/>
      </w:pPr>
      <w:bookmarkStart w:id="5" w:name="_Toc38290908"/>
      <w:r>
        <w:t>4、比赛内容</w:t>
      </w:r>
      <w:bookmarkEnd w:id="5"/>
    </w:p>
    <w:p>
      <w:pPr>
        <w:pStyle w:val="3"/>
      </w:pPr>
      <w:bookmarkStart w:id="6" w:name="_TOC_250017"/>
      <w:bookmarkEnd w:id="6"/>
      <w:bookmarkStart w:id="7" w:name="_Toc38290909"/>
      <w:r>
        <w:rPr>
          <w:rFonts w:hint="eastAsia"/>
        </w:rPr>
        <w:t>4</w:t>
      </w:r>
      <w:r>
        <w:t>.1</w:t>
      </w:r>
      <w:r>
        <w:rPr>
          <w:rFonts w:hint="eastAsia"/>
        </w:rPr>
        <w:t>、</w:t>
      </w:r>
      <w:r>
        <w:t>比赛场地说明</w:t>
      </w:r>
      <w:bookmarkEnd w:id="7"/>
    </w:p>
    <w:p>
      <w:pPr>
        <w:spacing w:before="1" w:line="360" w:lineRule="auto"/>
        <w:ind w:left="179"/>
        <w:jc w:val="center"/>
        <w:rPr>
          <w:rFonts w:ascii="微软雅黑" w:hAnsi="微软雅黑" w:eastAsia="微软雅黑"/>
          <w:sz w:val="20"/>
        </w:rPr>
      </w:pPr>
      <w:r>
        <w:drawing>
          <wp:inline distT="0" distB="0" distL="0" distR="0">
            <wp:extent cx="4977130" cy="2853690"/>
            <wp:effectExtent l="0" t="0" r="0"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5067166" cy="2905647"/>
                    </a:xfrm>
                    <a:prstGeom prst="rect">
                      <a:avLst/>
                    </a:prstGeom>
                    <a:noFill/>
                    <a:ln>
                      <a:noFill/>
                    </a:ln>
                  </pic:spPr>
                </pic:pic>
              </a:graphicData>
            </a:graphic>
          </wp:inline>
        </w:drawing>
      </w:r>
    </w:p>
    <w:p>
      <w:pPr>
        <w:spacing w:before="1" w:line="360" w:lineRule="auto"/>
        <w:ind w:left="179"/>
        <w:jc w:val="center"/>
        <w:rPr>
          <w:rFonts w:ascii="微软雅黑" w:hAnsi="微软雅黑" w:eastAsia="微软雅黑"/>
          <w:sz w:val="20"/>
        </w:rPr>
      </w:pPr>
      <w:r>
        <w:rPr>
          <w:rFonts w:ascii="微软雅黑" w:hAnsi="微软雅黑" w:eastAsia="微软雅黑"/>
          <w:sz w:val="20"/>
        </w:rPr>
        <w:t>比赛场地示意图</w:t>
      </w:r>
    </w:p>
    <w:p>
      <w:pPr>
        <w:pStyle w:val="22"/>
        <w:ind w:firstLine="480"/>
      </w:pPr>
      <w:r>
        <w:rPr>
          <w:rFonts w:hint="eastAsia"/>
        </w:rPr>
        <w:t>4</w:t>
      </w:r>
      <w:r>
        <w:t>.1.1  比赛场地图纸材质为PP裱地板膜</w:t>
      </w:r>
      <w:r>
        <w:rPr>
          <w:rFonts w:hint="eastAsia"/>
        </w:rPr>
        <w:t>。</w:t>
      </w:r>
      <w:r>
        <w:t xml:space="preserve"> </w:t>
      </w:r>
    </w:p>
    <w:p>
      <w:pPr>
        <w:pStyle w:val="22"/>
        <w:ind w:firstLine="480"/>
      </w:pPr>
      <w:r>
        <w:rPr>
          <w:rFonts w:hint="eastAsia"/>
        </w:rPr>
        <w:t>4</w:t>
      </w:r>
      <w:r>
        <w:t>.1.2  比赛场地</w:t>
      </w:r>
      <w:r>
        <w:rPr>
          <w:rFonts w:hint="eastAsia"/>
        </w:rPr>
        <w:t>尺寸为：</w:t>
      </w:r>
      <w:r>
        <w:t>长260cm，宽150cm。</w:t>
      </w:r>
    </w:p>
    <w:p>
      <w:pPr>
        <w:pStyle w:val="22"/>
        <w:ind w:firstLine="480"/>
      </w:pPr>
      <w:r>
        <w:rPr>
          <w:rFonts w:hint="eastAsia"/>
        </w:rPr>
        <w:t>4</w:t>
      </w:r>
      <w:r>
        <w:t>.1.3  比赛场地</w:t>
      </w:r>
      <w:r>
        <w:rPr>
          <w:rFonts w:hint="eastAsia"/>
        </w:rPr>
        <w:t>上标记为“学校”的是启动区域。</w:t>
      </w:r>
    </w:p>
    <w:p>
      <w:pPr>
        <w:pStyle w:val="7"/>
        <w:ind w:left="128" w:right="55" w:firstLine="480"/>
        <w:rPr>
          <w:sz w:val="20"/>
        </w:rPr>
      </w:pPr>
      <w:r>
        <w:drawing>
          <wp:anchor distT="0" distB="0" distL="114300" distR="114300" simplePos="0" relativeHeight="251667456" behindDoc="0" locked="0" layoutInCell="1" allowOverlap="1">
            <wp:simplePos x="0" y="0"/>
            <wp:positionH relativeFrom="column">
              <wp:posOffset>2235200</wp:posOffset>
            </wp:positionH>
            <wp:positionV relativeFrom="paragraph">
              <wp:posOffset>15240</wp:posOffset>
            </wp:positionV>
            <wp:extent cx="1486535" cy="1701800"/>
            <wp:effectExtent l="0" t="0" r="0" b="0"/>
            <wp:wrapSquare wrapText="bothSides"/>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1486535" cy="1701800"/>
                    </a:xfrm>
                    <a:prstGeom prst="rect">
                      <a:avLst/>
                    </a:prstGeom>
                  </pic:spPr>
                </pic:pic>
              </a:graphicData>
            </a:graphic>
          </wp:anchor>
        </w:drawing>
      </w:r>
    </w:p>
    <w:p>
      <w:pPr>
        <w:spacing w:before="227" w:line="360" w:lineRule="auto"/>
        <w:ind w:left="177"/>
        <w:jc w:val="center"/>
        <w:rPr>
          <w:rFonts w:ascii="微软雅黑" w:hAnsi="微软雅黑" w:eastAsia="微软雅黑"/>
          <w:sz w:val="20"/>
        </w:rPr>
      </w:pPr>
    </w:p>
    <w:p>
      <w:pPr>
        <w:spacing w:before="227" w:line="360" w:lineRule="auto"/>
        <w:ind w:left="177"/>
        <w:jc w:val="center"/>
        <w:rPr>
          <w:rFonts w:ascii="微软雅黑" w:hAnsi="微软雅黑" w:eastAsia="微软雅黑"/>
          <w:sz w:val="20"/>
        </w:rPr>
      </w:pPr>
    </w:p>
    <w:p>
      <w:pPr>
        <w:spacing w:before="227" w:line="360" w:lineRule="auto"/>
        <w:ind w:left="177"/>
        <w:jc w:val="center"/>
        <w:rPr>
          <w:rFonts w:ascii="微软雅黑" w:hAnsi="微软雅黑" w:eastAsia="微软雅黑"/>
          <w:sz w:val="20"/>
        </w:rPr>
      </w:pPr>
    </w:p>
    <w:p>
      <w:pPr>
        <w:spacing w:before="227" w:line="360" w:lineRule="auto"/>
        <w:ind w:left="177"/>
        <w:jc w:val="center"/>
        <w:rPr>
          <w:rFonts w:ascii="微软雅黑" w:hAnsi="微软雅黑" w:eastAsia="微软雅黑"/>
          <w:sz w:val="20"/>
        </w:rPr>
      </w:pPr>
      <w:r>
        <w:rPr>
          <w:rFonts w:ascii="微软雅黑" w:hAnsi="微软雅黑" w:eastAsia="微软雅黑"/>
          <w:sz w:val="20"/>
        </w:rPr>
        <w:t>启动区示意图</w:t>
      </w:r>
    </w:p>
    <w:p>
      <w:pPr>
        <w:pStyle w:val="22"/>
        <w:ind w:firstLine="480"/>
      </w:pPr>
      <w:r>
        <w:rPr>
          <w:rFonts w:hint="eastAsia"/>
        </w:rPr>
        <w:t>4</w:t>
      </w:r>
      <w:r>
        <w:t xml:space="preserve">.1.4  </w:t>
      </w:r>
      <w:r>
        <w:rPr>
          <w:rFonts w:hint="eastAsia"/>
        </w:rPr>
        <w:t>场地上标记的A</w:t>
      </w:r>
      <w:r>
        <w:t>,B,C,D</w:t>
      </w:r>
      <w:r>
        <w:rPr>
          <w:rFonts w:hint="eastAsia"/>
        </w:rPr>
        <w:t>四处是“学生下车点”，是此次任务的目的地。其中，A</w:t>
      </w:r>
      <w:r>
        <w:t>,B</w:t>
      </w:r>
      <w:r>
        <w:rPr>
          <w:rFonts w:hint="eastAsia"/>
        </w:rPr>
        <w:t>点离启动区域较近，属于“近点”；C</w:t>
      </w:r>
      <w:r>
        <w:t>,D</w:t>
      </w:r>
      <w:r>
        <w:rPr>
          <w:rFonts w:hint="eastAsia"/>
        </w:rPr>
        <w:t>点离启动区域较远，属于“远点”。</w:t>
      </w:r>
    </w:p>
    <w:tbl>
      <w:tblPr>
        <w:tblStyle w:val="17"/>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8"/>
        <w:gridCol w:w="47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8" w:type="dxa"/>
          </w:tcPr>
          <w:p>
            <w:pPr>
              <w:pStyle w:val="7"/>
              <w:ind w:left="128" w:right="55" w:firstLine="480"/>
              <w:jc w:val="center"/>
            </w:pPr>
            <w:r>
              <w:drawing>
                <wp:inline distT="0" distB="0" distL="0" distR="0">
                  <wp:extent cx="1795780" cy="1754505"/>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1795780" cy="1754505"/>
                          </a:xfrm>
                          <a:prstGeom prst="rect">
                            <a:avLst/>
                          </a:prstGeom>
                        </pic:spPr>
                      </pic:pic>
                    </a:graphicData>
                  </a:graphic>
                </wp:inline>
              </w:drawing>
            </w:r>
          </w:p>
        </w:tc>
        <w:tc>
          <w:tcPr>
            <w:tcW w:w="4708" w:type="dxa"/>
          </w:tcPr>
          <w:p>
            <w:pPr>
              <w:pStyle w:val="7"/>
              <w:ind w:left="128" w:right="55" w:firstLine="480"/>
              <w:jc w:val="center"/>
            </w:pPr>
            <w:r>
              <w:drawing>
                <wp:inline distT="0" distB="0" distL="0" distR="0">
                  <wp:extent cx="1813560" cy="176657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813560" cy="1766570"/>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9416" w:type="dxa"/>
            <w:gridSpan w:val="2"/>
          </w:tcPr>
          <w:p>
            <w:pPr>
              <w:pStyle w:val="7"/>
              <w:ind w:left="128" w:right="55" w:firstLine="400"/>
              <w:jc w:val="center"/>
            </w:pPr>
            <w:r>
              <w:rPr>
                <w:rFonts w:hint="eastAsia"/>
                <w:sz w:val="20"/>
                <w:szCs w:val="20"/>
              </w:rPr>
              <w:t>学生下车点-近点A</w:t>
            </w:r>
            <w:r>
              <w:rPr>
                <w:sz w:val="20"/>
                <w:szCs w:val="20"/>
              </w:rPr>
              <w:t xml:space="preserve">,B </w:t>
            </w:r>
            <w:r>
              <w:rPr>
                <w:rFonts w:hint="eastAsia"/>
                <w:sz w:val="20"/>
                <w:szCs w:val="20"/>
              </w:rPr>
              <w:t>示意图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8" w:type="dxa"/>
          </w:tcPr>
          <w:p>
            <w:pPr>
              <w:pStyle w:val="7"/>
              <w:ind w:left="128" w:right="55" w:firstLine="480"/>
              <w:jc w:val="center"/>
            </w:pPr>
            <w:r>
              <w:drawing>
                <wp:inline distT="0" distB="0" distL="0" distR="0">
                  <wp:extent cx="1737360" cy="1705610"/>
                  <wp:effectExtent l="0" t="0" r="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13">
                            <a:extLst>
                              <a:ext uri="{28A0092B-C50C-407E-A947-70E740481C1C}">
                                <a14:useLocalDpi xmlns:a14="http://schemas.microsoft.com/office/drawing/2010/main" val="0"/>
                              </a:ext>
                            </a:extLst>
                          </a:blip>
                          <a:srcRect r="2420"/>
                          <a:stretch>
                            <a:fillRect/>
                          </a:stretch>
                        </pic:blipFill>
                        <pic:spPr>
                          <a:xfrm>
                            <a:off x="0" y="0"/>
                            <a:ext cx="1737360" cy="1705610"/>
                          </a:xfrm>
                          <a:prstGeom prst="rect">
                            <a:avLst/>
                          </a:prstGeom>
                          <a:ln>
                            <a:noFill/>
                          </a:ln>
                        </pic:spPr>
                      </pic:pic>
                    </a:graphicData>
                  </a:graphic>
                </wp:inline>
              </w:drawing>
            </w:r>
          </w:p>
        </w:tc>
        <w:tc>
          <w:tcPr>
            <w:tcW w:w="4708" w:type="dxa"/>
          </w:tcPr>
          <w:p>
            <w:pPr>
              <w:pStyle w:val="7"/>
              <w:ind w:left="128" w:right="55" w:firstLine="480"/>
              <w:jc w:val="center"/>
            </w:pPr>
            <w:r>
              <w:drawing>
                <wp:inline distT="0" distB="0" distL="0" distR="0">
                  <wp:extent cx="1836420" cy="1679575"/>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1836420" cy="1679575"/>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9416" w:type="dxa"/>
            <w:gridSpan w:val="2"/>
          </w:tcPr>
          <w:p>
            <w:pPr>
              <w:pStyle w:val="7"/>
              <w:ind w:left="128" w:right="55" w:firstLine="400"/>
              <w:jc w:val="center"/>
            </w:pPr>
            <w:r>
              <w:rPr>
                <w:rFonts w:hint="eastAsia"/>
                <w:sz w:val="20"/>
                <w:szCs w:val="20"/>
              </w:rPr>
              <w:t>学生下车点-远点C</w:t>
            </w:r>
            <w:r>
              <w:rPr>
                <w:sz w:val="20"/>
                <w:szCs w:val="20"/>
              </w:rPr>
              <w:t xml:space="preserve">,D </w:t>
            </w:r>
            <w:r>
              <w:rPr>
                <w:rFonts w:hint="eastAsia"/>
                <w:sz w:val="20"/>
                <w:szCs w:val="20"/>
              </w:rPr>
              <w:t>示意图</w:t>
            </w:r>
          </w:p>
        </w:tc>
      </w:tr>
    </w:tbl>
    <w:p>
      <w:pPr>
        <w:pStyle w:val="22"/>
        <w:ind w:firstLine="480"/>
      </w:pPr>
      <w:r>
        <w:rPr>
          <w:rFonts w:hint="eastAsia"/>
        </w:rPr>
        <w:t>4</w:t>
      </w:r>
      <w:r>
        <w:t xml:space="preserve">.1.5 </w:t>
      </w:r>
      <w:r>
        <w:rPr>
          <w:rFonts w:hint="eastAsia"/>
        </w:rPr>
        <w:t>场地上印有实线的道路线，道路宽2</w:t>
      </w:r>
      <w:r>
        <w:t>0cm</w:t>
      </w:r>
      <w:r>
        <w:rPr>
          <w:rFonts w:hint="eastAsia"/>
        </w:rPr>
        <w:t>。</w:t>
      </w:r>
    </w:p>
    <w:p>
      <w:pPr>
        <w:pStyle w:val="7"/>
        <w:ind w:left="128" w:right="55" w:firstLine="240" w:firstLineChars="100"/>
        <w:jc w:val="center"/>
      </w:pPr>
      <w:r>
        <w:drawing>
          <wp:inline distT="0" distB="0" distL="0" distR="0">
            <wp:extent cx="2796540" cy="1891665"/>
            <wp:effectExtent l="0" t="0" r="0"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15"/>
                    <a:stretch>
                      <a:fillRect/>
                    </a:stretch>
                  </pic:blipFill>
                  <pic:spPr>
                    <a:xfrm>
                      <a:off x="0" y="0"/>
                      <a:ext cx="2797968" cy="1893015"/>
                    </a:xfrm>
                    <a:prstGeom prst="rect">
                      <a:avLst/>
                    </a:prstGeom>
                  </pic:spPr>
                </pic:pic>
              </a:graphicData>
            </a:graphic>
          </wp:inline>
        </w:drawing>
      </w:r>
    </w:p>
    <w:p>
      <w:pPr>
        <w:pStyle w:val="7"/>
        <w:ind w:left="128" w:right="55" w:firstLineChars="100"/>
        <w:jc w:val="center"/>
        <w:rPr>
          <w:sz w:val="20"/>
          <w:szCs w:val="20"/>
        </w:rPr>
      </w:pPr>
      <w:r>
        <w:rPr>
          <w:rFonts w:hint="eastAsia"/>
          <w:sz w:val="20"/>
          <w:szCs w:val="20"/>
        </w:rPr>
        <w:t>道路线示意图</w:t>
      </w:r>
    </w:p>
    <w:p>
      <w:pPr>
        <w:pStyle w:val="22"/>
        <w:ind w:firstLine="480"/>
      </w:pPr>
      <w:r>
        <w:br w:type="page"/>
      </w:r>
      <w:r>
        <w:rPr>
          <w:rFonts w:hint="eastAsia"/>
        </w:rPr>
        <w:t>4</w:t>
      </w:r>
      <w:r>
        <w:t xml:space="preserve">.1.6 </w:t>
      </w:r>
      <w:r>
        <w:rPr>
          <w:rFonts w:hint="eastAsia"/>
        </w:rPr>
        <w:t>场地上印有蓝色停车线，长2</w:t>
      </w:r>
      <w:r>
        <w:t>0cm</w:t>
      </w:r>
      <w:r>
        <w:rPr>
          <w:rFonts w:hint="eastAsia"/>
        </w:rPr>
        <w:t>，宽5</w:t>
      </w:r>
      <w:r>
        <w:t>cm</w:t>
      </w:r>
      <w:r>
        <w:rPr>
          <w:rFonts w:hint="eastAsia"/>
        </w:rPr>
        <w:t>。停车线处将放置交通指示牌支架。</w:t>
      </w:r>
    </w:p>
    <w:p>
      <w:pPr>
        <w:pStyle w:val="7"/>
        <w:ind w:left="128" w:right="55" w:firstLine="240" w:firstLineChars="100"/>
        <w:jc w:val="center"/>
      </w:pPr>
      <w:r>
        <w:drawing>
          <wp:inline distT="0" distB="0" distL="0" distR="0">
            <wp:extent cx="2171700" cy="718185"/>
            <wp:effectExtent l="0" t="0" r="0"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16"/>
                    <a:stretch>
                      <a:fillRect/>
                    </a:stretch>
                  </pic:blipFill>
                  <pic:spPr>
                    <a:xfrm>
                      <a:off x="0" y="0"/>
                      <a:ext cx="2181431" cy="721737"/>
                    </a:xfrm>
                    <a:prstGeom prst="rect">
                      <a:avLst/>
                    </a:prstGeom>
                  </pic:spPr>
                </pic:pic>
              </a:graphicData>
            </a:graphic>
          </wp:inline>
        </w:drawing>
      </w:r>
    </w:p>
    <w:p>
      <w:pPr>
        <w:pStyle w:val="7"/>
        <w:ind w:left="128" w:right="55" w:firstLineChars="100"/>
        <w:jc w:val="center"/>
        <w:rPr>
          <w:sz w:val="20"/>
          <w:szCs w:val="20"/>
        </w:rPr>
      </w:pPr>
      <w:r>
        <w:rPr>
          <w:rFonts w:hint="eastAsia"/>
          <w:sz w:val="20"/>
          <w:szCs w:val="20"/>
        </w:rPr>
        <w:t>停车线示意图</w:t>
      </w:r>
    </w:p>
    <w:p>
      <w:pPr>
        <w:pStyle w:val="22"/>
        <w:ind w:firstLine="480"/>
      </w:pPr>
      <w:r>
        <w:rPr>
          <w:rFonts w:hint="eastAsia"/>
        </w:rPr>
        <w:t>4</w:t>
      </w:r>
      <w:r>
        <w:t xml:space="preserve">.1.7 </w:t>
      </w:r>
      <w:r>
        <w:rPr>
          <w:rFonts w:hint="eastAsia"/>
        </w:rPr>
        <w:t>场地赛台及赛场灯光</w:t>
      </w:r>
    </w:p>
    <w:p>
      <w:pPr>
        <w:pStyle w:val="22"/>
        <w:ind w:firstLine="480"/>
      </w:pPr>
      <w:r>
        <w:t>根据比赛规模及比赛场馆具体情况，赛场大多数情况下为正常照明、冷光源，但赛场灯光条件为不确定因素，参赛队伍必须能够适应赛场的不同灯光条件</w:t>
      </w:r>
      <w:r>
        <w:rPr>
          <w:rFonts w:hint="eastAsia"/>
        </w:rPr>
        <w:t>。</w:t>
      </w:r>
    </w:p>
    <w:p>
      <w:pPr>
        <w:pStyle w:val="3"/>
        <w:ind w:firstLine="300" w:firstLineChars="100"/>
      </w:pPr>
      <w:bookmarkStart w:id="8" w:name="_TOC_250016"/>
      <w:bookmarkEnd w:id="8"/>
      <w:bookmarkStart w:id="9" w:name="_Toc38290910"/>
      <w:r>
        <w:rPr>
          <w:rFonts w:hint="eastAsia"/>
        </w:rPr>
        <w:t>4</w:t>
      </w:r>
      <w:r>
        <w:t xml:space="preserve">.2 </w:t>
      </w:r>
      <w:r>
        <w:rPr>
          <w:rFonts w:hint="eastAsia"/>
        </w:rPr>
        <w:t>、场地</w:t>
      </w:r>
      <w:r>
        <w:t>道具说明</w:t>
      </w:r>
      <w:bookmarkEnd w:id="9"/>
    </w:p>
    <w:p>
      <w:pPr>
        <w:pStyle w:val="22"/>
        <w:ind w:firstLine="480"/>
        <w:rPr>
          <w:sz w:val="28"/>
        </w:rPr>
      </w:pPr>
      <w:r>
        <w:rPr>
          <w:rFonts w:hint="eastAsia"/>
        </w:rPr>
        <w:t>根据比赛任务的设置，交通指示牌支架放置在需要经过的停车线两侧，支架用魔术贴附着在停车线的两侧，附着点位置如下图所示，每轮比赛的场地上共有6个支架。支架宽2</w:t>
      </w:r>
      <w:r>
        <w:t>5.5cm</w:t>
      </w:r>
      <w:r>
        <w:rPr>
          <w:rFonts w:hint="eastAsia"/>
        </w:rPr>
        <w:t>，高2</w:t>
      </w:r>
      <w:r>
        <w:t>8cm</w:t>
      </w:r>
      <w:r>
        <w:rPr>
          <w:rFonts w:hint="eastAsia"/>
        </w:rPr>
        <w:t>。交通指示牌尺寸为8</w:t>
      </w:r>
      <w:r>
        <w:t>cm*8cm</w:t>
      </w:r>
      <w:r>
        <w:rPr>
          <w:rFonts w:hint="eastAsia"/>
        </w:rPr>
        <w:t>，贴在支架的中间。</w:t>
      </w:r>
    </w:p>
    <w:tbl>
      <w:tblPr>
        <w:tblStyle w:val="17"/>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477"/>
        <w:gridCol w:w="49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17" w:hRule="atLeast"/>
        </w:trPr>
        <w:tc>
          <w:tcPr>
            <w:tcW w:w="4708" w:type="dxa"/>
          </w:tcPr>
          <w:p>
            <w:pPr>
              <w:pStyle w:val="7"/>
              <w:ind w:left="128" w:right="55" w:firstLine="480"/>
              <w:jc w:val="center"/>
              <w:rPr>
                <w:sz w:val="20"/>
              </w:rPr>
            </w:pPr>
            <w:r>
              <w:drawing>
                <wp:anchor distT="0" distB="0" distL="114300" distR="114300" simplePos="0" relativeHeight="251665408" behindDoc="0" locked="0" layoutInCell="1" allowOverlap="1">
                  <wp:simplePos x="0" y="0"/>
                  <wp:positionH relativeFrom="column">
                    <wp:posOffset>1230630</wp:posOffset>
                  </wp:positionH>
                  <wp:positionV relativeFrom="paragraph">
                    <wp:posOffset>541020</wp:posOffset>
                  </wp:positionV>
                  <wp:extent cx="428625" cy="1600200"/>
                  <wp:effectExtent l="590550" t="0" r="561975" b="0"/>
                  <wp:wrapSquare wrapText="bothSides"/>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rot="16200000">
                            <a:off x="0" y="0"/>
                            <a:ext cx="428625" cy="1600200"/>
                          </a:xfrm>
                          <a:prstGeom prst="rect">
                            <a:avLst/>
                          </a:prstGeom>
                        </pic:spPr>
                      </pic:pic>
                    </a:graphicData>
                  </a:graphic>
                </wp:anchor>
              </w:drawing>
            </w:r>
          </w:p>
        </w:tc>
        <w:tc>
          <w:tcPr>
            <w:tcW w:w="4708" w:type="dxa"/>
          </w:tcPr>
          <w:p>
            <w:pPr>
              <w:pStyle w:val="7"/>
              <w:ind w:left="128" w:right="55" w:firstLine="480"/>
              <w:jc w:val="center"/>
              <w:rPr>
                <w:sz w:val="20"/>
              </w:rPr>
            </w:pPr>
            <w:r>
              <w:drawing>
                <wp:inline distT="0" distB="0" distL="0" distR="0">
                  <wp:extent cx="2245360" cy="2603500"/>
                  <wp:effectExtent l="0" t="7620" r="0"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rot="16200000">
                            <a:off x="0" y="0"/>
                            <a:ext cx="2258971" cy="2618785"/>
                          </a:xfrm>
                          <a:prstGeom prst="rect">
                            <a:avLst/>
                          </a:prstGeom>
                          <a:noFill/>
                          <a:ln>
                            <a:noFill/>
                          </a:ln>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8" w:type="dxa"/>
          </w:tcPr>
          <w:p>
            <w:pPr>
              <w:pStyle w:val="7"/>
              <w:ind w:left="128" w:right="55" w:firstLine="400"/>
              <w:jc w:val="center"/>
              <w:rPr>
                <w:sz w:val="20"/>
              </w:rPr>
            </w:pPr>
            <w:r>
              <w:rPr>
                <w:rFonts w:hint="eastAsia"/>
                <w:sz w:val="20"/>
              </w:rPr>
              <w:t>支架附着点示意图</w:t>
            </w:r>
          </w:p>
        </w:tc>
        <w:tc>
          <w:tcPr>
            <w:tcW w:w="4708" w:type="dxa"/>
          </w:tcPr>
          <w:p>
            <w:pPr>
              <w:pStyle w:val="7"/>
              <w:ind w:left="128" w:right="55" w:firstLine="400"/>
              <w:jc w:val="center"/>
              <w:rPr>
                <w:sz w:val="20"/>
              </w:rPr>
            </w:pPr>
            <w:r>
              <w:rPr>
                <w:rFonts w:hint="eastAsia"/>
                <w:sz w:val="20"/>
              </w:rPr>
              <w:t>支架实际放置效果图</w:t>
            </w:r>
          </w:p>
        </w:tc>
      </w:tr>
    </w:tbl>
    <w:tbl>
      <w:tblPr>
        <w:tblStyle w:val="31"/>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148"/>
        <w:gridCol w:w="414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36" w:hRule="atLeast"/>
          <w:jc w:val="center"/>
        </w:trPr>
        <w:tc>
          <w:tcPr>
            <w:tcW w:w="4148" w:type="dxa"/>
          </w:tcPr>
          <w:p>
            <w:pPr>
              <w:widowControl/>
              <w:autoSpaceDE/>
              <w:autoSpaceDN/>
              <w:rPr>
                <w:rFonts w:ascii="微软雅黑" w:hAnsi="微软雅黑" w:eastAsia="微软雅黑"/>
                <w:kern w:val="2"/>
                <w:sz w:val="24"/>
                <w:szCs w:val="28"/>
              </w:rPr>
            </w:pPr>
            <w:bookmarkStart w:id="10" w:name="_TOC_250015"/>
            <w:bookmarkEnd w:id="10"/>
            <w:bookmarkStart w:id="11" w:name="_Hlk38369268"/>
            <w:bookmarkStart w:id="12" w:name="_Toc38290911"/>
            <w:r>
              <w:rPr>
                <w:rFonts w:ascii="微软雅黑" w:hAnsi="微软雅黑" w:eastAsia="微软雅黑"/>
                <w:kern w:val="2"/>
                <w:sz w:val="24"/>
                <w:szCs w:val="28"/>
              </w:rPr>
              <w:drawing>
                <wp:anchor distT="0" distB="0" distL="114300" distR="114300" simplePos="0" relativeHeight="251669504" behindDoc="1" locked="0" layoutInCell="1" allowOverlap="1">
                  <wp:simplePos x="0" y="0"/>
                  <wp:positionH relativeFrom="column">
                    <wp:posOffset>185420</wp:posOffset>
                  </wp:positionH>
                  <wp:positionV relativeFrom="paragraph">
                    <wp:posOffset>255270</wp:posOffset>
                  </wp:positionV>
                  <wp:extent cx="2159635" cy="1441450"/>
                  <wp:effectExtent l="0" t="0" r="0" b="6350"/>
                  <wp:wrapNone/>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2159635" cy="1441450"/>
                          </a:xfrm>
                          <a:prstGeom prst="rect">
                            <a:avLst/>
                          </a:prstGeom>
                          <a:noFill/>
                          <a:ln>
                            <a:noFill/>
                          </a:ln>
                        </pic:spPr>
                      </pic:pic>
                    </a:graphicData>
                  </a:graphic>
                </wp:anchor>
              </w:drawing>
            </w:r>
          </w:p>
        </w:tc>
        <w:tc>
          <w:tcPr>
            <w:tcW w:w="4148" w:type="dxa"/>
          </w:tcPr>
          <w:p>
            <w:pPr>
              <w:widowControl/>
              <w:autoSpaceDE/>
              <w:autoSpaceDN/>
              <w:rPr>
                <w:rFonts w:ascii="微软雅黑" w:hAnsi="微软雅黑" w:eastAsia="微软雅黑"/>
                <w:kern w:val="2"/>
                <w:sz w:val="24"/>
                <w:szCs w:val="28"/>
              </w:rPr>
            </w:pPr>
            <w:r>
              <w:rPr>
                <w:rFonts w:ascii="微软雅黑" w:hAnsi="微软雅黑" w:eastAsia="微软雅黑"/>
                <w:kern w:val="2"/>
                <w:sz w:val="24"/>
                <w:szCs w:val="28"/>
              </w:rPr>
              <w:drawing>
                <wp:anchor distT="0" distB="0" distL="114300" distR="114300" simplePos="0" relativeHeight="251670528" behindDoc="1" locked="0" layoutInCell="1" allowOverlap="1">
                  <wp:simplePos x="0" y="0"/>
                  <wp:positionH relativeFrom="column">
                    <wp:posOffset>142240</wp:posOffset>
                  </wp:positionH>
                  <wp:positionV relativeFrom="paragraph">
                    <wp:posOffset>200660</wp:posOffset>
                  </wp:positionV>
                  <wp:extent cx="2159635" cy="1490345"/>
                  <wp:effectExtent l="0" t="0" r="0" b="0"/>
                  <wp:wrapNone/>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noChangeArrowheads="1"/>
                          </pic:cNvPicPr>
                        </pic:nvPicPr>
                        <pic:blipFill>
                          <a:blip r:embed="rId20" cstate="print">
                            <a:extLst>
                              <a:ext uri="{28A0092B-C50C-407E-A947-70E740481C1C}">
                                <a14:useLocalDpi xmlns:a14="http://schemas.microsoft.com/office/drawing/2010/main" val="0"/>
                              </a:ext>
                            </a:extLst>
                          </a:blip>
                          <a:srcRect t="7997"/>
                          <a:stretch>
                            <a:fillRect/>
                          </a:stretch>
                        </pic:blipFill>
                        <pic:spPr>
                          <a:xfrm>
                            <a:off x="0" y="0"/>
                            <a:ext cx="2159635" cy="149034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148" w:type="dxa"/>
          </w:tcPr>
          <w:p>
            <w:pPr>
              <w:widowControl/>
              <w:autoSpaceDE/>
              <w:autoSpaceDN/>
              <w:jc w:val="center"/>
              <w:rPr>
                <w:rFonts w:ascii="微软雅黑" w:hAnsi="微软雅黑" w:eastAsia="微软雅黑"/>
                <w:kern w:val="2"/>
                <w:sz w:val="20"/>
                <w:szCs w:val="21"/>
              </w:rPr>
            </w:pPr>
            <w:r>
              <w:rPr>
                <w:rFonts w:hint="eastAsia" w:ascii="微软雅黑" w:hAnsi="微软雅黑" w:eastAsia="微软雅黑"/>
                <w:kern w:val="2"/>
                <w:sz w:val="20"/>
                <w:szCs w:val="21"/>
              </w:rPr>
              <w:t>支架放置在A点</w:t>
            </w:r>
          </w:p>
        </w:tc>
        <w:tc>
          <w:tcPr>
            <w:tcW w:w="4148" w:type="dxa"/>
          </w:tcPr>
          <w:p>
            <w:pPr>
              <w:widowControl/>
              <w:autoSpaceDE/>
              <w:autoSpaceDN/>
              <w:jc w:val="center"/>
              <w:rPr>
                <w:rFonts w:ascii="微软雅黑" w:hAnsi="微软雅黑" w:eastAsia="微软雅黑"/>
                <w:kern w:val="2"/>
                <w:sz w:val="20"/>
                <w:szCs w:val="21"/>
              </w:rPr>
            </w:pPr>
            <w:r>
              <w:rPr>
                <w:rFonts w:hint="eastAsia" w:ascii="微软雅黑" w:hAnsi="微软雅黑" w:eastAsia="微软雅黑"/>
                <w:kern w:val="2"/>
                <w:sz w:val="20"/>
                <w:szCs w:val="21"/>
              </w:rPr>
              <w:t>支架放置在B点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30" w:hRule="atLeast"/>
          <w:jc w:val="center"/>
        </w:trPr>
        <w:tc>
          <w:tcPr>
            <w:tcW w:w="4148" w:type="dxa"/>
          </w:tcPr>
          <w:p>
            <w:pPr>
              <w:widowControl/>
              <w:autoSpaceDE/>
              <w:autoSpaceDN/>
              <w:rPr>
                <w:rFonts w:ascii="微软雅黑" w:hAnsi="微软雅黑" w:eastAsia="微软雅黑"/>
                <w:kern w:val="2"/>
                <w:sz w:val="24"/>
                <w:szCs w:val="28"/>
              </w:rPr>
            </w:pPr>
            <w:r>
              <w:rPr>
                <w:rFonts w:ascii="微软雅黑" w:hAnsi="微软雅黑" w:eastAsia="微软雅黑"/>
                <w:kern w:val="2"/>
                <w:sz w:val="24"/>
                <w:szCs w:val="28"/>
              </w:rPr>
              <w:drawing>
                <wp:anchor distT="0" distB="0" distL="114300" distR="114300" simplePos="0" relativeHeight="251672576" behindDoc="1" locked="0" layoutInCell="1" allowOverlap="1">
                  <wp:simplePos x="0" y="0"/>
                  <wp:positionH relativeFrom="column">
                    <wp:posOffset>132080</wp:posOffset>
                  </wp:positionH>
                  <wp:positionV relativeFrom="paragraph">
                    <wp:posOffset>126365</wp:posOffset>
                  </wp:positionV>
                  <wp:extent cx="2159635" cy="1619885"/>
                  <wp:effectExtent l="0" t="0" r="0" b="0"/>
                  <wp:wrapNone/>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2159635" cy="1619885"/>
                          </a:xfrm>
                          <a:prstGeom prst="rect">
                            <a:avLst/>
                          </a:prstGeom>
                          <a:noFill/>
                          <a:ln>
                            <a:noFill/>
                          </a:ln>
                        </pic:spPr>
                      </pic:pic>
                    </a:graphicData>
                  </a:graphic>
                </wp:anchor>
              </w:drawing>
            </w:r>
          </w:p>
        </w:tc>
        <w:tc>
          <w:tcPr>
            <w:tcW w:w="4148" w:type="dxa"/>
          </w:tcPr>
          <w:p>
            <w:pPr>
              <w:widowControl/>
              <w:autoSpaceDE/>
              <w:autoSpaceDN/>
              <w:rPr>
                <w:rFonts w:ascii="微软雅黑" w:hAnsi="微软雅黑" w:eastAsia="微软雅黑"/>
                <w:kern w:val="2"/>
                <w:sz w:val="24"/>
                <w:szCs w:val="28"/>
              </w:rPr>
            </w:pPr>
            <w:r>
              <w:rPr>
                <w:rFonts w:ascii="微软雅黑" w:hAnsi="微软雅黑" w:eastAsia="微软雅黑"/>
                <w:kern w:val="2"/>
                <w:sz w:val="24"/>
                <w:szCs w:val="28"/>
              </w:rPr>
              <w:drawing>
                <wp:anchor distT="0" distB="0" distL="114300" distR="114300" simplePos="0" relativeHeight="251671552" behindDoc="1" locked="0" layoutInCell="1" allowOverlap="1">
                  <wp:simplePos x="0" y="0"/>
                  <wp:positionH relativeFrom="column">
                    <wp:posOffset>142240</wp:posOffset>
                  </wp:positionH>
                  <wp:positionV relativeFrom="paragraph">
                    <wp:posOffset>126365</wp:posOffset>
                  </wp:positionV>
                  <wp:extent cx="2159635" cy="1619885"/>
                  <wp:effectExtent l="0" t="0" r="0" b="0"/>
                  <wp:wrapNone/>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a:xfrm>
                            <a:off x="0" y="0"/>
                            <a:ext cx="2159635" cy="161988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148" w:type="dxa"/>
          </w:tcPr>
          <w:p>
            <w:pPr>
              <w:widowControl/>
              <w:autoSpaceDE/>
              <w:autoSpaceDN/>
              <w:jc w:val="center"/>
              <w:rPr>
                <w:rFonts w:ascii="微软雅黑" w:hAnsi="微软雅黑" w:eastAsia="微软雅黑"/>
                <w:kern w:val="2"/>
                <w:sz w:val="20"/>
                <w:szCs w:val="21"/>
              </w:rPr>
            </w:pPr>
            <w:r>
              <w:rPr>
                <w:rFonts w:hint="eastAsia" w:ascii="微软雅黑" w:hAnsi="微软雅黑" w:eastAsia="微软雅黑"/>
                <w:kern w:val="2"/>
                <w:sz w:val="20"/>
                <w:szCs w:val="21"/>
              </w:rPr>
              <w:t>支架放置在C点</w:t>
            </w:r>
          </w:p>
        </w:tc>
        <w:tc>
          <w:tcPr>
            <w:tcW w:w="4148" w:type="dxa"/>
          </w:tcPr>
          <w:p>
            <w:pPr>
              <w:widowControl/>
              <w:autoSpaceDE/>
              <w:autoSpaceDN/>
              <w:jc w:val="center"/>
              <w:rPr>
                <w:rFonts w:ascii="微软雅黑" w:hAnsi="微软雅黑" w:eastAsia="微软雅黑"/>
                <w:kern w:val="2"/>
                <w:sz w:val="20"/>
                <w:szCs w:val="21"/>
              </w:rPr>
            </w:pPr>
            <w:r>
              <w:rPr>
                <w:rFonts w:hint="eastAsia" w:ascii="微软雅黑" w:hAnsi="微软雅黑" w:eastAsia="微软雅黑"/>
                <w:kern w:val="2"/>
                <w:sz w:val="20"/>
                <w:szCs w:val="21"/>
              </w:rPr>
              <w:t>支架放置在D点</w:t>
            </w:r>
          </w:p>
        </w:tc>
      </w:tr>
      <w:bookmarkEnd w:id="11"/>
    </w:tbl>
    <w:p>
      <w:pPr>
        <w:pStyle w:val="3"/>
        <w:tabs>
          <w:tab w:val="left" w:pos="910"/>
        </w:tabs>
        <w:ind w:firstLine="300" w:firstLineChars="100"/>
        <w:jc w:val="center"/>
      </w:pPr>
    </w:p>
    <w:p>
      <w:pPr>
        <w:pStyle w:val="3"/>
        <w:tabs>
          <w:tab w:val="left" w:pos="910"/>
        </w:tabs>
        <w:ind w:firstLine="300" w:firstLineChars="100"/>
      </w:pPr>
      <w:r>
        <w:rPr>
          <w:rFonts w:hint="eastAsia"/>
        </w:rPr>
        <w:t>4</w:t>
      </w:r>
      <w:r>
        <w:t xml:space="preserve">.3 </w:t>
      </w:r>
      <w:r>
        <w:rPr>
          <w:rFonts w:hint="eastAsia"/>
        </w:rPr>
        <w:t>、</w:t>
      </w:r>
      <w:r>
        <w:t>比赛任务介绍</w:t>
      </w:r>
      <w:bookmarkEnd w:id="12"/>
    </w:p>
    <w:p>
      <w:pPr>
        <w:pStyle w:val="22"/>
        <w:ind w:firstLine="480"/>
      </w:pPr>
      <w:r>
        <w:rPr>
          <w:rFonts w:hint="eastAsia"/>
        </w:rPr>
        <w:t>每轮</w:t>
      </w:r>
      <w:r>
        <w:t>比赛总时长为 3 分钟。要求校车在规定时间内</w:t>
      </w:r>
      <w:r>
        <w:rPr>
          <w:rFonts w:hint="eastAsia"/>
        </w:rPr>
        <w:t>到达抽取的两个队员下车点</w:t>
      </w:r>
      <w:r>
        <w:t>（A,B中</w:t>
      </w:r>
      <w:r>
        <w:rPr>
          <w:rFonts w:hint="eastAsia"/>
        </w:rPr>
        <w:t>抽</w:t>
      </w:r>
      <w:r>
        <w:t>取一个，C,D中</w:t>
      </w:r>
      <w:r>
        <w:rPr>
          <w:rFonts w:hint="eastAsia"/>
        </w:rPr>
        <w:t>抽</w:t>
      </w:r>
      <w:r>
        <w:t>取一个</w:t>
      </w:r>
      <w:r>
        <w:rPr>
          <w:rFonts w:hint="eastAsia"/>
        </w:rPr>
        <w:t>，共有四种组合：A</w:t>
      </w:r>
      <w:r>
        <w:t>C</w:t>
      </w:r>
      <w:r>
        <w:rPr>
          <w:rFonts w:hint="eastAsia"/>
        </w:rPr>
        <w:t>、A</w:t>
      </w:r>
      <w:r>
        <w:t>D</w:t>
      </w:r>
      <w:r>
        <w:rPr>
          <w:rFonts w:hint="eastAsia"/>
        </w:rPr>
        <w:t>、B</w:t>
      </w:r>
      <w:r>
        <w:t>C</w:t>
      </w:r>
      <w:r>
        <w:rPr>
          <w:rFonts w:hint="eastAsia"/>
        </w:rPr>
        <w:t>、B</w:t>
      </w:r>
      <w:r>
        <w:t>D），并在行驶过程当中需要根据实际情况（</w:t>
      </w:r>
      <w:r>
        <w:rPr>
          <w:rFonts w:hint="eastAsia"/>
        </w:rPr>
        <w:t>交通</w:t>
      </w:r>
      <w:r>
        <w:t>指示牌、路况）做出反应，遵守交通规则。</w:t>
      </w:r>
    </w:p>
    <w:p>
      <w:pPr>
        <w:pStyle w:val="22"/>
        <w:ind w:firstLine="480"/>
      </w:pPr>
      <w:r>
        <w:rPr>
          <w:rFonts w:hint="eastAsia"/>
        </w:rPr>
        <w:t>4</w:t>
      </w:r>
      <w:r>
        <w:t xml:space="preserve">.3.1 </w:t>
      </w:r>
      <w:r>
        <w:rPr>
          <w:rFonts w:hint="eastAsia"/>
        </w:rPr>
        <w:t>每轮比赛计分公式</w:t>
      </w:r>
    </w:p>
    <w:p>
      <w:pPr>
        <w:pStyle w:val="22"/>
        <w:ind w:firstLine="480"/>
      </w:pPr>
      <w:r>
        <w:rPr>
          <w:rFonts w:hint="eastAsia"/>
        </w:rPr>
        <w:t>每轮比赛最终得分 =“到达队员下车点”任务得分 +</w:t>
      </w:r>
      <w:r>
        <w:t xml:space="preserve"> </w:t>
      </w:r>
      <w:r>
        <w:rPr>
          <w:rFonts w:hint="eastAsia"/>
        </w:rPr>
        <w:t>现场任务得分+操作得分-所有罚分。</w:t>
      </w:r>
    </w:p>
    <w:p>
      <w:pPr>
        <w:pStyle w:val="22"/>
        <w:ind w:firstLine="480"/>
      </w:pPr>
      <w:r>
        <w:t xml:space="preserve">4.3.2 </w:t>
      </w:r>
      <w:r>
        <w:rPr>
          <w:rFonts w:hint="eastAsia"/>
        </w:rPr>
        <w:t>“到达队员下车点”任务得分说明</w:t>
      </w:r>
    </w:p>
    <w:p>
      <w:pPr>
        <w:pStyle w:val="22"/>
        <w:ind w:firstLine="480"/>
      </w:pPr>
      <w:r>
        <w:t>校车</w:t>
      </w:r>
      <w:r>
        <w:rPr>
          <w:rFonts w:hint="eastAsia"/>
        </w:rPr>
        <w:t>完成近点任务（A或B），满分为</w:t>
      </w:r>
      <w:r>
        <w:t>80分</w:t>
      </w:r>
      <w:r>
        <w:rPr>
          <w:rFonts w:hint="eastAsia"/>
        </w:rPr>
        <w:t>，半分为4</w:t>
      </w:r>
      <w:r>
        <w:t>0</w:t>
      </w:r>
      <w:r>
        <w:rPr>
          <w:rFonts w:hint="eastAsia"/>
        </w:rPr>
        <w:t>分</w:t>
      </w:r>
      <w:r>
        <w:t>；校车</w:t>
      </w:r>
      <w:r>
        <w:rPr>
          <w:rFonts w:hint="eastAsia"/>
        </w:rPr>
        <w:t>完成远点任务（C或D），满分为</w:t>
      </w:r>
      <w:r>
        <w:t>100分</w:t>
      </w:r>
      <w:r>
        <w:rPr>
          <w:rFonts w:hint="eastAsia"/>
        </w:rPr>
        <w:t>，半分为5</w:t>
      </w:r>
      <w:r>
        <w:t>0</w:t>
      </w:r>
      <w:r>
        <w:rPr>
          <w:rFonts w:hint="eastAsia"/>
        </w:rPr>
        <w:t>分</w:t>
      </w:r>
      <w:r>
        <w:t>。</w:t>
      </w:r>
      <w:r>
        <w:rPr>
          <w:rFonts w:hint="eastAsia"/>
        </w:rPr>
        <w:t>不同的进入状态按照下图来判断。</w:t>
      </w:r>
    </w:p>
    <w:tbl>
      <w:tblPr>
        <w:tblStyle w:val="17"/>
        <w:tblW w:w="0" w:type="auto"/>
        <w:tblInd w:w="-48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119"/>
        <w:gridCol w:w="3119"/>
        <w:gridCol w:w="31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9190" w:type="dxa"/>
            <w:gridSpan w:val="3"/>
          </w:tcPr>
          <w:p>
            <w:pPr>
              <w:pStyle w:val="7"/>
              <w:ind w:left="128" w:right="55" w:firstLine="480"/>
              <w:jc w:val="center"/>
              <w:rPr>
                <w:szCs w:val="36"/>
              </w:rPr>
            </w:pPr>
            <w:r>
              <w:drawing>
                <wp:inline distT="0" distB="0" distL="0" distR="0">
                  <wp:extent cx="5402580" cy="1463040"/>
                  <wp:effectExtent l="0" t="0" r="7620" b="381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23"/>
                          <a:stretch>
                            <a:fillRect/>
                          </a:stretch>
                        </pic:blipFill>
                        <pic:spPr>
                          <a:xfrm>
                            <a:off x="0" y="0"/>
                            <a:ext cx="5457129" cy="1478298"/>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063" w:type="dxa"/>
          </w:tcPr>
          <w:p>
            <w:pPr>
              <w:pStyle w:val="7"/>
              <w:ind w:left="128" w:right="55" w:firstLine="400"/>
              <w:jc w:val="center"/>
              <w:rPr>
                <w:sz w:val="20"/>
              </w:rPr>
            </w:pPr>
            <w:r>
              <w:rPr>
                <w:rFonts w:hint="eastAsia"/>
                <w:sz w:val="20"/>
              </w:rPr>
              <w:t>校车完全进入学生下车点</w:t>
            </w:r>
          </w:p>
        </w:tc>
        <w:tc>
          <w:tcPr>
            <w:tcW w:w="3063" w:type="dxa"/>
          </w:tcPr>
          <w:p>
            <w:pPr>
              <w:pStyle w:val="7"/>
              <w:ind w:left="128" w:right="55" w:firstLine="400"/>
              <w:jc w:val="center"/>
              <w:rPr>
                <w:sz w:val="20"/>
              </w:rPr>
            </w:pPr>
            <w:r>
              <w:rPr>
                <w:rFonts w:hint="eastAsia"/>
                <w:sz w:val="20"/>
              </w:rPr>
              <w:t>校车部分进入学生下车点</w:t>
            </w:r>
          </w:p>
        </w:tc>
        <w:tc>
          <w:tcPr>
            <w:tcW w:w="3064" w:type="dxa"/>
          </w:tcPr>
          <w:p>
            <w:pPr>
              <w:pStyle w:val="7"/>
              <w:ind w:left="128" w:right="55" w:firstLine="400"/>
              <w:jc w:val="center"/>
              <w:rPr>
                <w:sz w:val="20"/>
              </w:rPr>
            </w:pPr>
            <w:r>
              <w:rPr>
                <w:rFonts w:hint="eastAsia"/>
                <w:sz w:val="20"/>
              </w:rPr>
              <w:t>校车未进入学生下车点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063" w:type="dxa"/>
          </w:tcPr>
          <w:p>
            <w:pPr>
              <w:pStyle w:val="7"/>
              <w:ind w:left="128" w:right="55" w:firstLine="400"/>
              <w:jc w:val="center"/>
              <w:rPr>
                <w:sz w:val="20"/>
              </w:rPr>
            </w:pPr>
          </w:p>
        </w:tc>
        <w:tc>
          <w:tcPr>
            <w:tcW w:w="3063" w:type="dxa"/>
          </w:tcPr>
          <w:p>
            <w:pPr>
              <w:pStyle w:val="7"/>
              <w:ind w:left="128" w:right="55" w:firstLine="400"/>
              <w:jc w:val="center"/>
              <w:rPr>
                <w:sz w:val="20"/>
              </w:rPr>
            </w:pPr>
          </w:p>
        </w:tc>
        <w:tc>
          <w:tcPr>
            <w:tcW w:w="3064" w:type="dxa"/>
          </w:tcPr>
          <w:p>
            <w:pPr>
              <w:pStyle w:val="7"/>
              <w:ind w:left="128" w:right="55" w:firstLine="400"/>
              <w:jc w:val="center"/>
              <w:rPr>
                <w:sz w:val="20"/>
              </w:rPr>
            </w:pPr>
          </w:p>
        </w:tc>
      </w:tr>
    </w:tbl>
    <w:p>
      <w:pPr>
        <w:pStyle w:val="22"/>
        <w:numPr>
          <w:ilvl w:val="0"/>
          <w:numId w:val="2"/>
        </w:numPr>
        <w:ind w:firstLineChars="0"/>
      </w:pPr>
      <w:r>
        <w:rPr>
          <w:rFonts w:hint="eastAsia"/>
        </w:rPr>
        <w:t>校车需要完全进入学生下车点区域，并在区域内保持静止状态至少三秒，计满分。</w:t>
      </w:r>
    </w:p>
    <w:p>
      <w:pPr>
        <w:pStyle w:val="22"/>
        <w:numPr>
          <w:ilvl w:val="0"/>
          <w:numId w:val="2"/>
        </w:numPr>
        <w:ind w:firstLineChars="0"/>
      </w:pPr>
      <w:r>
        <w:rPr>
          <w:rFonts w:hint="eastAsia"/>
        </w:rPr>
        <w:t>校车完全进入学生下车点区域，但静止停留时间明显少于三秒，则只计半分。</w:t>
      </w:r>
    </w:p>
    <w:p>
      <w:pPr>
        <w:pStyle w:val="22"/>
        <w:numPr>
          <w:ilvl w:val="0"/>
          <w:numId w:val="2"/>
        </w:numPr>
        <w:ind w:firstLineChars="0"/>
      </w:pPr>
      <w:r>
        <w:rPr>
          <w:rFonts w:hint="eastAsia"/>
        </w:rPr>
        <w:t>校车部分进入学生下车点区域，并保持静止状态至少三秒，计半分。</w:t>
      </w:r>
    </w:p>
    <w:p>
      <w:pPr>
        <w:pStyle w:val="22"/>
        <w:numPr>
          <w:ilvl w:val="0"/>
          <w:numId w:val="2"/>
        </w:numPr>
        <w:ind w:firstLineChars="0"/>
      </w:pPr>
      <w:r>
        <w:rPr>
          <w:rFonts w:hint="eastAsia"/>
        </w:rPr>
        <w:t>若校车部分车体进入学生下车点区域，但静止停留时间明显少于3秒，则不计分。</w:t>
      </w:r>
    </w:p>
    <w:p>
      <w:pPr>
        <w:pStyle w:val="22"/>
        <w:numPr>
          <w:ilvl w:val="0"/>
          <w:numId w:val="2"/>
        </w:numPr>
        <w:ind w:firstLineChars="0"/>
      </w:pPr>
      <w:r>
        <w:rPr>
          <w:rFonts w:hint="eastAsia"/>
        </w:rPr>
        <w:t>若校车未进入学生下车点，则不计分。</w:t>
      </w:r>
    </w:p>
    <w:p>
      <w:pPr>
        <w:pStyle w:val="22"/>
        <w:ind w:firstLine="480"/>
      </w:pPr>
      <w:r>
        <w:br w:type="page"/>
      </w:r>
      <w:r>
        <w:rPr>
          <w:rFonts w:hint="eastAsia"/>
        </w:rPr>
        <w:t>4</w:t>
      </w:r>
      <w:r>
        <w:t xml:space="preserve">.3.3 </w:t>
      </w:r>
      <w:r>
        <w:rPr>
          <w:rFonts w:hint="eastAsia"/>
        </w:rPr>
        <w:t>交通指示牌任务说明</w:t>
      </w:r>
    </w:p>
    <w:tbl>
      <w:tblPr>
        <w:tblStyle w:val="16"/>
        <w:tblW w:w="10220" w:type="dxa"/>
        <w:tblInd w:w="-235" w:type="dxa"/>
        <w:tblLayout w:type="fixed"/>
        <w:tblCellMar>
          <w:top w:w="0" w:type="dxa"/>
          <w:left w:w="108" w:type="dxa"/>
          <w:bottom w:w="0" w:type="dxa"/>
          <w:right w:w="108" w:type="dxa"/>
        </w:tblCellMar>
      </w:tblPr>
      <w:tblGrid>
        <w:gridCol w:w="5120"/>
        <w:gridCol w:w="5100"/>
      </w:tblGrid>
      <w:tr>
        <w:tblPrEx>
          <w:tblCellMar>
            <w:top w:w="0" w:type="dxa"/>
            <w:left w:w="108" w:type="dxa"/>
            <w:bottom w:w="0" w:type="dxa"/>
            <w:right w:w="108" w:type="dxa"/>
          </w:tblCellMar>
        </w:tblPrEx>
        <w:trPr>
          <w:trHeight w:val="4616" w:hRule="atLeast"/>
        </w:trPr>
        <w:tc>
          <w:tcPr>
            <w:tcW w:w="5120" w:type="dxa"/>
          </w:tcPr>
          <w:p>
            <w:pPr>
              <w:autoSpaceDE/>
              <w:autoSpaceDN/>
              <w:spacing w:line="360" w:lineRule="auto"/>
              <w:ind w:right="240" w:firstLine="480" w:firstLineChars="200"/>
              <w:jc w:val="center"/>
              <w:rPr>
                <w:rFonts w:ascii="微软雅黑" w:hAnsi="微软雅黑" w:eastAsia="微软雅黑" w:cs="微软雅黑"/>
                <w:bCs/>
                <w:kern w:val="2"/>
                <w:sz w:val="24"/>
                <w:szCs w:val="24"/>
              </w:rPr>
            </w:pPr>
            <w:r>
              <w:rPr>
                <w:rFonts w:hint="eastAsia" w:ascii="微软雅黑" w:hAnsi="微软雅黑" w:eastAsia="微软雅黑" w:cs="微软雅黑"/>
                <w:kern w:val="2"/>
                <w:sz w:val="24"/>
                <w:szCs w:val="24"/>
              </w:rPr>
              <w:drawing>
                <wp:inline distT="0" distB="0" distL="0" distR="0">
                  <wp:extent cx="2880360" cy="2880360"/>
                  <wp:effectExtent l="0" t="0" r="8890" b="889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2880360" cy="2880360"/>
                          </a:xfrm>
                          <a:prstGeom prst="rect">
                            <a:avLst/>
                          </a:prstGeom>
                          <a:noFill/>
                          <a:ln>
                            <a:noFill/>
                          </a:ln>
                          <a:effectLst/>
                        </pic:spPr>
                      </pic:pic>
                    </a:graphicData>
                  </a:graphic>
                </wp:inline>
              </w:drawing>
            </w:r>
          </w:p>
        </w:tc>
        <w:tc>
          <w:tcPr>
            <w:tcW w:w="5100" w:type="dxa"/>
          </w:tcPr>
          <w:p>
            <w:pPr>
              <w:autoSpaceDE/>
              <w:autoSpaceDN/>
              <w:spacing w:line="360" w:lineRule="auto"/>
              <w:ind w:right="240" w:firstLine="480" w:firstLineChars="200"/>
              <w:jc w:val="center"/>
              <w:rPr>
                <w:rFonts w:ascii="微软雅黑" w:hAnsi="微软雅黑" w:eastAsia="微软雅黑" w:cs="微软雅黑"/>
                <w:bCs/>
                <w:kern w:val="2"/>
                <w:sz w:val="24"/>
                <w:szCs w:val="24"/>
              </w:rPr>
            </w:pPr>
            <w:r>
              <w:rPr>
                <w:rFonts w:hint="eastAsia" w:ascii="微软雅黑" w:hAnsi="微软雅黑" w:eastAsia="微软雅黑" w:cs="微软雅黑"/>
                <w:kern w:val="2"/>
                <w:sz w:val="24"/>
                <w:szCs w:val="24"/>
              </w:rPr>
              <w:drawing>
                <wp:inline distT="0" distB="0" distL="0" distR="0">
                  <wp:extent cx="2880360" cy="2880360"/>
                  <wp:effectExtent l="0" t="0" r="0" b="0"/>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2880360" cy="2880360"/>
                          </a:xfrm>
                          <a:prstGeom prst="rect">
                            <a:avLst/>
                          </a:prstGeom>
                          <a:noFill/>
                          <a:ln>
                            <a:noFill/>
                          </a:ln>
                          <a:effectLst/>
                        </pic:spPr>
                      </pic:pic>
                    </a:graphicData>
                  </a:graphic>
                </wp:inline>
              </w:drawing>
            </w:r>
          </w:p>
        </w:tc>
      </w:tr>
      <w:tr>
        <w:tblPrEx>
          <w:tblCellMar>
            <w:top w:w="0" w:type="dxa"/>
            <w:left w:w="108" w:type="dxa"/>
            <w:bottom w:w="0" w:type="dxa"/>
            <w:right w:w="108" w:type="dxa"/>
          </w:tblCellMar>
        </w:tblPrEx>
        <w:trPr>
          <w:trHeight w:val="988" w:hRule="atLeast"/>
        </w:trPr>
        <w:tc>
          <w:tcPr>
            <w:tcW w:w="5120" w:type="dxa"/>
          </w:tcPr>
          <w:p>
            <w:pPr>
              <w:autoSpaceDE/>
              <w:autoSpaceDN/>
              <w:spacing w:line="360" w:lineRule="auto"/>
              <w:ind w:left="240" w:right="240" w:firstLine="420" w:firstLineChars="200"/>
              <w:jc w:val="both"/>
              <w:rPr>
                <w:rFonts w:ascii="微软雅黑" w:hAnsi="微软雅黑" w:eastAsia="微软雅黑" w:cs="微软雅黑"/>
                <w:bCs/>
                <w:kern w:val="2"/>
                <w:sz w:val="28"/>
                <w:szCs w:val="28"/>
              </w:rPr>
            </w:pPr>
            <w:r>
              <w:rPr>
                <w:rFonts w:hint="eastAsia" w:ascii="微软雅黑" w:hAnsi="微软雅黑" w:eastAsia="微软雅黑" w:cs="微软雅黑"/>
                <w:b/>
                <w:kern w:val="2"/>
                <w:sz w:val="21"/>
                <w:szCs w:val="21"/>
              </w:rPr>
              <w:t>红灯：</w:t>
            </w:r>
            <w:r>
              <w:rPr>
                <w:rFonts w:hint="eastAsia" w:ascii="微软雅黑" w:hAnsi="微软雅黑" w:eastAsia="微软雅黑" w:cs="微软雅黑"/>
                <w:bCs/>
                <w:kern w:val="2"/>
                <w:sz w:val="21"/>
                <w:szCs w:val="21"/>
              </w:rPr>
              <w:t>车辆需在停车线之前停止至少5秒。</w:t>
            </w:r>
          </w:p>
        </w:tc>
        <w:tc>
          <w:tcPr>
            <w:tcW w:w="5100" w:type="dxa"/>
          </w:tcPr>
          <w:p>
            <w:pPr>
              <w:autoSpaceDE/>
              <w:autoSpaceDN/>
              <w:spacing w:line="360" w:lineRule="auto"/>
              <w:ind w:left="240" w:right="240" w:firstLine="400" w:firstLineChars="200"/>
              <w:jc w:val="center"/>
              <w:rPr>
                <w:rFonts w:ascii="微软雅黑" w:hAnsi="微软雅黑" w:eastAsia="微软雅黑" w:cs="微软雅黑"/>
                <w:bCs/>
                <w:kern w:val="2"/>
                <w:sz w:val="28"/>
                <w:szCs w:val="28"/>
              </w:rPr>
            </w:pPr>
            <w:r>
              <w:rPr>
                <w:rFonts w:hint="eastAsia" w:ascii="微软雅黑" w:hAnsi="微软雅黑" w:eastAsia="微软雅黑" w:cs="微软雅黑"/>
                <w:b/>
                <w:kern w:val="2"/>
                <w:sz w:val="20"/>
                <w:szCs w:val="20"/>
              </w:rPr>
              <w:t>绿灯：</w:t>
            </w:r>
            <w:r>
              <w:rPr>
                <w:rFonts w:hint="eastAsia" w:ascii="微软雅黑" w:hAnsi="微软雅黑" w:eastAsia="微软雅黑" w:cs="微软雅黑"/>
                <w:bCs/>
                <w:kern w:val="2"/>
                <w:sz w:val="20"/>
                <w:szCs w:val="20"/>
              </w:rPr>
              <w:t>车辆可直接通行。</w:t>
            </w:r>
          </w:p>
        </w:tc>
      </w:tr>
      <w:tr>
        <w:tblPrEx>
          <w:tblCellMar>
            <w:top w:w="0" w:type="dxa"/>
            <w:left w:w="108" w:type="dxa"/>
            <w:bottom w:w="0" w:type="dxa"/>
            <w:right w:w="108" w:type="dxa"/>
          </w:tblCellMar>
        </w:tblPrEx>
        <w:trPr>
          <w:trHeight w:val="4616" w:hRule="atLeast"/>
        </w:trPr>
        <w:tc>
          <w:tcPr>
            <w:tcW w:w="5120" w:type="dxa"/>
          </w:tcPr>
          <w:p>
            <w:pPr>
              <w:autoSpaceDE/>
              <w:autoSpaceDN/>
              <w:spacing w:line="360" w:lineRule="auto"/>
              <w:ind w:right="240" w:firstLine="560" w:firstLineChars="200"/>
              <w:jc w:val="center"/>
              <w:rPr>
                <w:rFonts w:ascii="微软雅黑" w:hAnsi="微软雅黑" w:eastAsia="微软雅黑" w:cs="微软雅黑"/>
                <w:bCs/>
                <w:kern w:val="2"/>
                <w:sz w:val="28"/>
                <w:szCs w:val="28"/>
              </w:rPr>
            </w:pPr>
            <w:r>
              <w:rPr>
                <w:rFonts w:hint="eastAsia" w:ascii="微软雅黑" w:hAnsi="微软雅黑" w:eastAsia="微软雅黑" w:cs="微软雅黑"/>
                <w:kern w:val="2"/>
                <w:sz w:val="28"/>
                <w:szCs w:val="28"/>
              </w:rPr>
              <w:drawing>
                <wp:inline distT="0" distB="0" distL="0" distR="0">
                  <wp:extent cx="2880360" cy="2880360"/>
                  <wp:effectExtent l="0" t="0" r="0" b="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a:xfrm>
                            <a:off x="0" y="0"/>
                            <a:ext cx="2880360" cy="2880360"/>
                          </a:xfrm>
                          <a:prstGeom prst="rect">
                            <a:avLst/>
                          </a:prstGeom>
                          <a:noFill/>
                          <a:ln>
                            <a:noFill/>
                          </a:ln>
                        </pic:spPr>
                      </pic:pic>
                    </a:graphicData>
                  </a:graphic>
                </wp:inline>
              </w:drawing>
            </w:r>
          </w:p>
        </w:tc>
        <w:tc>
          <w:tcPr>
            <w:tcW w:w="5100" w:type="dxa"/>
          </w:tcPr>
          <w:p>
            <w:pPr>
              <w:autoSpaceDE/>
              <w:autoSpaceDN/>
              <w:spacing w:line="360" w:lineRule="auto"/>
              <w:ind w:right="240" w:firstLine="560" w:firstLineChars="200"/>
              <w:jc w:val="center"/>
              <w:rPr>
                <w:rFonts w:ascii="微软雅黑" w:hAnsi="微软雅黑" w:eastAsia="微软雅黑" w:cs="微软雅黑"/>
                <w:bCs/>
                <w:kern w:val="2"/>
                <w:sz w:val="28"/>
                <w:szCs w:val="28"/>
              </w:rPr>
            </w:pPr>
            <w:r>
              <w:rPr>
                <w:rFonts w:hint="eastAsia" w:ascii="微软雅黑" w:hAnsi="微软雅黑" w:eastAsia="微软雅黑" w:cs="微软雅黑"/>
                <w:kern w:val="2"/>
                <w:sz w:val="28"/>
                <w:szCs w:val="28"/>
              </w:rPr>
              <w:drawing>
                <wp:inline distT="0" distB="0" distL="0" distR="0">
                  <wp:extent cx="2880360" cy="2880360"/>
                  <wp:effectExtent l="0" t="0" r="0" b="0"/>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a:xfrm>
                            <a:off x="0" y="0"/>
                            <a:ext cx="2880360" cy="2880360"/>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1483" w:hRule="atLeast"/>
        </w:trPr>
        <w:tc>
          <w:tcPr>
            <w:tcW w:w="5120" w:type="dxa"/>
          </w:tcPr>
          <w:p>
            <w:pPr>
              <w:autoSpaceDE/>
              <w:autoSpaceDN/>
              <w:spacing w:line="360" w:lineRule="auto"/>
              <w:ind w:left="240" w:right="240" w:firstLine="400" w:firstLineChars="200"/>
              <w:rPr>
                <w:rFonts w:ascii="微软雅黑" w:hAnsi="微软雅黑" w:eastAsia="微软雅黑" w:cs="微软雅黑"/>
                <w:bCs/>
                <w:kern w:val="2"/>
                <w:sz w:val="28"/>
                <w:szCs w:val="28"/>
              </w:rPr>
            </w:pPr>
            <w:r>
              <w:rPr>
                <w:rFonts w:hint="eastAsia" w:ascii="微软雅黑" w:hAnsi="微软雅黑" w:eastAsia="微软雅黑" w:cs="微软雅黑"/>
                <w:b/>
                <w:kern w:val="2"/>
                <w:sz w:val="20"/>
                <w:szCs w:val="20"/>
              </w:rPr>
              <w:t>右转：</w:t>
            </w:r>
            <w:r>
              <w:rPr>
                <w:rFonts w:hint="eastAsia" w:ascii="微软雅黑" w:hAnsi="微软雅黑" w:eastAsia="微软雅黑" w:cs="微软雅黑"/>
                <w:bCs/>
                <w:kern w:val="2"/>
                <w:sz w:val="20"/>
                <w:szCs w:val="20"/>
              </w:rPr>
              <w:t>车辆在此路口仅可右转，且要在停车线之前打开右转向灯，直到车身全部通过停车线以后才可关闭。</w:t>
            </w:r>
          </w:p>
        </w:tc>
        <w:tc>
          <w:tcPr>
            <w:tcW w:w="5100" w:type="dxa"/>
          </w:tcPr>
          <w:p>
            <w:pPr>
              <w:autoSpaceDE/>
              <w:autoSpaceDN/>
              <w:spacing w:line="360" w:lineRule="auto"/>
              <w:ind w:left="240" w:right="240" w:firstLine="400" w:firstLineChars="200"/>
              <w:rPr>
                <w:rFonts w:ascii="微软雅黑" w:hAnsi="微软雅黑" w:eastAsia="微软雅黑" w:cs="微软雅黑"/>
                <w:bCs/>
                <w:kern w:val="2"/>
                <w:sz w:val="28"/>
                <w:szCs w:val="28"/>
              </w:rPr>
            </w:pPr>
            <w:r>
              <w:rPr>
                <w:rFonts w:hint="eastAsia" w:ascii="微软雅黑" w:hAnsi="微软雅黑" w:eastAsia="微软雅黑" w:cs="微软雅黑"/>
                <w:b/>
                <w:kern w:val="2"/>
                <w:sz w:val="20"/>
                <w:szCs w:val="20"/>
              </w:rPr>
              <w:t>左转：</w:t>
            </w:r>
            <w:r>
              <w:rPr>
                <w:rFonts w:hint="eastAsia" w:ascii="微软雅黑" w:hAnsi="微软雅黑" w:eastAsia="微软雅黑" w:cs="微软雅黑"/>
                <w:bCs/>
                <w:kern w:val="2"/>
                <w:sz w:val="20"/>
                <w:szCs w:val="20"/>
              </w:rPr>
              <w:t>车辆在此路口仅可左转，且要在停车线之前打开左转向灯，直到车身全部通过停车线以后才可关闭。</w:t>
            </w:r>
          </w:p>
        </w:tc>
      </w:tr>
      <w:tr>
        <w:tblPrEx>
          <w:tblCellMar>
            <w:top w:w="0" w:type="dxa"/>
            <w:left w:w="108" w:type="dxa"/>
            <w:bottom w:w="0" w:type="dxa"/>
            <w:right w:w="108" w:type="dxa"/>
          </w:tblCellMar>
        </w:tblPrEx>
        <w:trPr>
          <w:trHeight w:val="4833" w:hRule="atLeast"/>
        </w:trPr>
        <w:tc>
          <w:tcPr>
            <w:tcW w:w="5120" w:type="dxa"/>
          </w:tcPr>
          <w:p>
            <w:pPr>
              <w:autoSpaceDE/>
              <w:autoSpaceDN/>
              <w:spacing w:line="360" w:lineRule="auto"/>
              <w:ind w:right="240" w:firstLine="560" w:firstLineChars="200"/>
              <w:jc w:val="center"/>
              <w:rPr>
                <w:rFonts w:ascii="微软雅黑" w:hAnsi="微软雅黑" w:eastAsia="微软雅黑" w:cs="微软雅黑"/>
                <w:bCs/>
                <w:kern w:val="2"/>
                <w:sz w:val="28"/>
                <w:szCs w:val="28"/>
              </w:rPr>
            </w:pPr>
            <w:r>
              <w:rPr>
                <w:rFonts w:hint="eastAsia" w:ascii="微软雅黑" w:hAnsi="微软雅黑" w:eastAsia="微软雅黑" w:cs="微软雅黑"/>
                <w:kern w:val="2"/>
                <w:sz w:val="28"/>
                <w:szCs w:val="28"/>
              </w:rPr>
              <w:drawing>
                <wp:inline distT="0" distB="0" distL="0" distR="0">
                  <wp:extent cx="2880360" cy="2880360"/>
                  <wp:effectExtent l="0" t="0" r="0" b="0"/>
                  <wp:docPr id="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a:xfrm>
                            <a:off x="0" y="0"/>
                            <a:ext cx="2880360" cy="2880360"/>
                          </a:xfrm>
                          <a:prstGeom prst="rect">
                            <a:avLst/>
                          </a:prstGeom>
                          <a:noFill/>
                          <a:ln>
                            <a:noFill/>
                          </a:ln>
                        </pic:spPr>
                      </pic:pic>
                    </a:graphicData>
                  </a:graphic>
                </wp:inline>
              </w:drawing>
            </w:r>
          </w:p>
        </w:tc>
        <w:tc>
          <w:tcPr>
            <w:tcW w:w="5100" w:type="dxa"/>
          </w:tcPr>
          <w:p>
            <w:pPr>
              <w:autoSpaceDE/>
              <w:autoSpaceDN/>
              <w:spacing w:line="360" w:lineRule="auto"/>
              <w:ind w:right="240" w:firstLine="560" w:firstLineChars="200"/>
              <w:jc w:val="center"/>
              <w:rPr>
                <w:rFonts w:ascii="微软雅黑" w:hAnsi="微软雅黑" w:eastAsia="微软雅黑" w:cs="微软雅黑"/>
                <w:bCs/>
                <w:kern w:val="2"/>
                <w:sz w:val="28"/>
                <w:szCs w:val="28"/>
              </w:rPr>
            </w:pPr>
            <w:r>
              <w:rPr>
                <w:rFonts w:hint="eastAsia" w:ascii="微软雅黑" w:hAnsi="微软雅黑" w:eastAsia="微软雅黑" w:cs="微软雅黑"/>
                <w:kern w:val="2"/>
                <w:sz w:val="28"/>
                <w:szCs w:val="28"/>
              </w:rPr>
              <w:drawing>
                <wp:inline distT="0" distB="0" distL="0" distR="0">
                  <wp:extent cx="2880360" cy="2880360"/>
                  <wp:effectExtent l="0" t="0" r="0" b="0"/>
                  <wp:docPr id="9"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2880360" cy="2880360"/>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988" w:hRule="atLeast"/>
        </w:trPr>
        <w:tc>
          <w:tcPr>
            <w:tcW w:w="5120" w:type="dxa"/>
          </w:tcPr>
          <w:p>
            <w:pPr>
              <w:autoSpaceDE/>
              <w:autoSpaceDN/>
              <w:spacing w:line="360" w:lineRule="auto"/>
              <w:ind w:left="240" w:right="240" w:firstLine="400" w:firstLineChars="200"/>
              <w:rPr>
                <w:rFonts w:ascii="微软雅黑" w:hAnsi="微软雅黑" w:eastAsia="微软雅黑" w:cs="微软雅黑"/>
                <w:bCs/>
                <w:kern w:val="2"/>
                <w:sz w:val="28"/>
                <w:szCs w:val="28"/>
              </w:rPr>
            </w:pPr>
            <w:r>
              <w:rPr>
                <w:rFonts w:hint="eastAsia" w:ascii="微软雅黑" w:hAnsi="微软雅黑" w:eastAsia="微软雅黑" w:cs="微软雅黑"/>
                <w:b/>
                <w:kern w:val="2"/>
                <w:sz w:val="20"/>
                <w:szCs w:val="20"/>
              </w:rPr>
              <w:t>禁止长时间停车：</w:t>
            </w:r>
            <w:r>
              <w:rPr>
                <w:rFonts w:hint="eastAsia" w:ascii="微软雅黑" w:hAnsi="微软雅黑" w:eastAsia="微软雅黑" w:cs="微软雅黑"/>
                <w:bCs/>
                <w:kern w:val="2"/>
                <w:sz w:val="20"/>
                <w:szCs w:val="20"/>
              </w:rPr>
              <w:t>车辆不可在停车线之前停车超过3秒。</w:t>
            </w:r>
          </w:p>
        </w:tc>
        <w:tc>
          <w:tcPr>
            <w:tcW w:w="5100" w:type="dxa"/>
          </w:tcPr>
          <w:p>
            <w:pPr>
              <w:autoSpaceDE/>
              <w:autoSpaceDN/>
              <w:spacing w:line="360" w:lineRule="auto"/>
              <w:ind w:left="240" w:right="240" w:firstLine="400" w:firstLineChars="200"/>
              <w:rPr>
                <w:rFonts w:ascii="微软雅黑" w:hAnsi="微软雅黑" w:eastAsia="微软雅黑" w:cs="微软雅黑"/>
                <w:bCs/>
                <w:kern w:val="2"/>
                <w:sz w:val="28"/>
                <w:szCs w:val="28"/>
              </w:rPr>
            </w:pPr>
            <w:r>
              <w:rPr>
                <w:rFonts w:hint="eastAsia" w:ascii="微软雅黑" w:hAnsi="微软雅黑" w:eastAsia="微软雅黑" w:cs="微软雅黑"/>
                <w:b/>
                <w:kern w:val="2"/>
                <w:sz w:val="20"/>
                <w:szCs w:val="20"/>
              </w:rPr>
              <w:t>鸣笛：</w:t>
            </w:r>
            <w:r>
              <w:rPr>
                <w:rFonts w:hint="eastAsia" w:ascii="微软雅黑" w:hAnsi="微软雅黑" w:eastAsia="微软雅黑" w:cs="微软雅黑"/>
                <w:bCs/>
                <w:kern w:val="2"/>
                <w:sz w:val="20"/>
                <w:szCs w:val="20"/>
              </w:rPr>
              <w:t>车辆在停车线之前需鸣笛至少1秒。</w:t>
            </w:r>
          </w:p>
        </w:tc>
      </w:tr>
      <w:tr>
        <w:tblPrEx>
          <w:tblCellMar>
            <w:top w:w="0" w:type="dxa"/>
            <w:left w:w="108" w:type="dxa"/>
            <w:bottom w:w="0" w:type="dxa"/>
            <w:right w:w="108" w:type="dxa"/>
          </w:tblCellMar>
        </w:tblPrEx>
        <w:trPr>
          <w:trHeight w:val="4616" w:hRule="atLeast"/>
        </w:trPr>
        <w:tc>
          <w:tcPr>
            <w:tcW w:w="5120" w:type="dxa"/>
          </w:tcPr>
          <w:p>
            <w:pPr>
              <w:autoSpaceDE/>
              <w:autoSpaceDN/>
              <w:spacing w:line="360" w:lineRule="auto"/>
              <w:ind w:right="240" w:firstLine="560" w:firstLineChars="200"/>
              <w:jc w:val="center"/>
              <w:rPr>
                <w:rFonts w:ascii="微软雅黑" w:hAnsi="微软雅黑" w:eastAsia="微软雅黑" w:cs="微软雅黑"/>
                <w:bCs/>
                <w:kern w:val="2"/>
                <w:sz w:val="28"/>
                <w:szCs w:val="28"/>
              </w:rPr>
            </w:pPr>
            <w:r>
              <w:rPr>
                <w:rFonts w:hint="eastAsia" w:ascii="微软雅黑" w:hAnsi="微软雅黑" w:eastAsia="微软雅黑" w:cs="微软雅黑"/>
                <w:kern w:val="2"/>
                <w:sz w:val="28"/>
                <w:szCs w:val="28"/>
              </w:rPr>
              <w:drawing>
                <wp:inline distT="0" distB="0" distL="0" distR="0">
                  <wp:extent cx="2880360" cy="2880360"/>
                  <wp:effectExtent l="0" t="0" r="0" b="0"/>
                  <wp:docPr id="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2880360" cy="2880360"/>
                          </a:xfrm>
                          <a:prstGeom prst="rect">
                            <a:avLst/>
                          </a:prstGeom>
                          <a:noFill/>
                          <a:ln>
                            <a:noFill/>
                          </a:ln>
                        </pic:spPr>
                      </pic:pic>
                    </a:graphicData>
                  </a:graphic>
                </wp:inline>
              </w:drawing>
            </w:r>
          </w:p>
        </w:tc>
        <w:tc>
          <w:tcPr>
            <w:tcW w:w="5100" w:type="dxa"/>
          </w:tcPr>
          <w:p>
            <w:pPr>
              <w:autoSpaceDE/>
              <w:autoSpaceDN/>
              <w:spacing w:line="360" w:lineRule="auto"/>
              <w:ind w:right="240" w:firstLine="560" w:firstLineChars="200"/>
              <w:jc w:val="center"/>
              <w:rPr>
                <w:rFonts w:ascii="微软雅黑" w:hAnsi="微软雅黑" w:eastAsia="微软雅黑" w:cs="微软雅黑"/>
                <w:bCs/>
                <w:kern w:val="2"/>
                <w:sz w:val="28"/>
                <w:szCs w:val="28"/>
              </w:rPr>
            </w:pPr>
            <w:r>
              <w:rPr>
                <w:rFonts w:hint="eastAsia" w:ascii="微软雅黑" w:hAnsi="微软雅黑" w:eastAsia="微软雅黑" w:cs="微软雅黑"/>
                <w:kern w:val="2"/>
                <w:sz w:val="28"/>
                <w:szCs w:val="28"/>
              </w:rPr>
              <w:drawing>
                <wp:inline distT="0" distB="0" distL="0" distR="0">
                  <wp:extent cx="2880360" cy="2880360"/>
                  <wp:effectExtent l="0" t="0" r="0" b="0"/>
                  <wp:docPr id="1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2880360" cy="2880360"/>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1483" w:hRule="atLeast"/>
        </w:trPr>
        <w:tc>
          <w:tcPr>
            <w:tcW w:w="5120" w:type="dxa"/>
          </w:tcPr>
          <w:p>
            <w:pPr>
              <w:autoSpaceDE/>
              <w:autoSpaceDN/>
              <w:spacing w:line="360" w:lineRule="auto"/>
              <w:ind w:left="240" w:right="240" w:firstLine="400" w:firstLineChars="200"/>
              <w:rPr>
                <w:rFonts w:ascii="微软雅黑" w:hAnsi="微软雅黑" w:eastAsia="微软雅黑" w:cs="微软雅黑"/>
                <w:bCs/>
                <w:kern w:val="2"/>
                <w:sz w:val="28"/>
                <w:szCs w:val="28"/>
              </w:rPr>
            </w:pPr>
            <w:r>
              <w:rPr>
                <w:rFonts w:hint="eastAsia" w:ascii="微软雅黑" w:hAnsi="微软雅黑" w:eastAsia="微软雅黑" w:cs="微软雅黑"/>
                <w:b/>
                <w:kern w:val="2"/>
                <w:sz w:val="20"/>
                <w:szCs w:val="20"/>
              </w:rPr>
              <w:t>注意儿童：</w:t>
            </w:r>
            <w:r>
              <w:rPr>
                <w:rFonts w:hint="eastAsia" w:ascii="微软雅黑" w:hAnsi="微软雅黑" w:eastAsia="微软雅黑" w:cs="微软雅黑"/>
                <w:bCs/>
                <w:kern w:val="2"/>
                <w:sz w:val="20"/>
                <w:szCs w:val="20"/>
              </w:rPr>
              <w:t>车辆需在停车线之前停止，然后开启双闪灯，闪光至少三次（一明一暗为一闪）。</w:t>
            </w:r>
          </w:p>
        </w:tc>
        <w:tc>
          <w:tcPr>
            <w:tcW w:w="5100" w:type="dxa"/>
          </w:tcPr>
          <w:p>
            <w:pPr>
              <w:autoSpaceDE/>
              <w:autoSpaceDN/>
              <w:spacing w:line="360" w:lineRule="auto"/>
              <w:ind w:left="240" w:right="240"/>
              <w:rPr>
                <w:rFonts w:ascii="微软雅黑" w:hAnsi="微软雅黑" w:eastAsia="微软雅黑" w:cs="微软雅黑"/>
                <w:bCs/>
                <w:kern w:val="2"/>
                <w:sz w:val="28"/>
                <w:szCs w:val="28"/>
              </w:rPr>
            </w:pPr>
            <w:r>
              <w:rPr>
                <w:rFonts w:hint="eastAsia" w:ascii="微软雅黑" w:hAnsi="微软雅黑" w:eastAsia="微软雅黑" w:cs="微软雅黑"/>
                <w:b/>
                <w:kern w:val="2"/>
                <w:sz w:val="20"/>
                <w:szCs w:val="20"/>
              </w:rPr>
              <w:t>进入隧道：</w:t>
            </w:r>
            <w:r>
              <w:rPr>
                <w:rFonts w:hint="eastAsia" w:ascii="微软雅黑" w:hAnsi="微软雅黑" w:eastAsia="微软雅黑" w:cs="微软雅黑"/>
                <w:bCs/>
                <w:kern w:val="2"/>
                <w:sz w:val="20"/>
                <w:szCs w:val="20"/>
              </w:rPr>
              <w:t>车辆在停车线之前需开启两个原本关闭的车灯，直到车身全部通过停车线以后才可关闭。</w:t>
            </w:r>
          </w:p>
        </w:tc>
      </w:tr>
    </w:tbl>
    <w:p>
      <w:pPr>
        <w:pStyle w:val="22"/>
        <w:ind w:firstLine="480"/>
      </w:pPr>
      <w:r>
        <w:t xml:space="preserve">4.3.4 </w:t>
      </w:r>
      <w:r>
        <w:rPr>
          <w:rFonts w:hint="eastAsia"/>
        </w:rPr>
        <w:t>现场任务得分说明</w:t>
      </w:r>
    </w:p>
    <w:p>
      <w:pPr>
        <w:pStyle w:val="22"/>
        <w:ind w:firstLine="480"/>
      </w:pPr>
      <w:r>
        <w:t>比赛现场，在</w:t>
      </w:r>
      <w:r>
        <w:rPr>
          <w:rFonts w:hint="eastAsia"/>
        </w:rPr>
        <w:t>公布任务内容时</w:t>
      </w:r>
      <w:r>
        <w:t>会公布一个现场任务，任务内容示例：带领下错车的队员至正确点位；清理妨碍队员下车的杂物；为中途的校车加油；及时送身体不适的队员至医院；下车点车流密集，向后车展示让行标志。现场任务分值为30</w:t>
      </w:r>
      <w:r>
        <w:rPr>
          <w:rFonts w:hint="eastAsia"/>
        </w:rPr>
        <w:t>分，此任务为选做任务，不影响其他任务的得分</w:t>
      </w:r>
      <w:r>
        <w:t>。现场任务</w:t>
      </w:r>
      <w:r>
        <w:rPr>
          <w:rFonts w:hint="eastAsia"/>
        </w:rPr>
        <w:t>具体内容以比赛现场公布内容为准</w:t>
      </w:r>
      <w:r>
        <w:t>。</w:t>
      </w:r>
    </w:p>
    <w:p>
      <w:pPr>
        <w:pStyle w:val="22"/>
        <w:ind w:firstLine="480"/>
      </w:pPr>
      <w:r>
        <w:t xml:space="preserve">4.3.5 </w:t>
      </w:r>
      <w:r>
        <w:rPr>
          <w:rFonts w:hint="eastAsia"/>
        </w:rPr>
        <w:t>操作得分说明</w:t>
      </w:r>
    </w:p>
    <w:p>
      <w:pPr>
        <w:pStyle w:val="22"/>
        <w:ind w:firstLine="480"/>
      </w:pPr>
      <w:r>
        <w:t>每轮活动中，每个队伍最多有</w:t>
      </w:r>
      <w:r>
        <w:rPr>
          <w:rFonts w:hint="eastAsia"/>
        </w:rPr>
        <w:t>3</w:t>
      </w:r>
      <w:r>
        <w:t>次启动机会，</w:t>
      </w:r>
      <w:r>
        <w:rPr>
          <w:rFonts w:hint="eastAsia"/>
        </w:rPr>
        <w:t>裁判会记录每队在此轮比赛中启动的次数。使用的启动次数越少，操作得分越高。</w:t>
      </w:r>
      <w:r>
        <w:t>一次启动记录记20分；两次启动记录记10分；三次启动记录记0分。</w:t>
      </w:r>
    </w:p>
    <w:p>
      <w:pPr>
        <w:pStyle w:val="22"/>
        <w:ind w:firstLine="480"/>
      </w:pPr>
      <w:r>
        <w:rPr>
          <w:rFonts w:hint="eastAsia"/>
        </w:rPr>
        <w:t>每次重启将重新计算任务得分，本轮任务得分取得分最高的一次任务得分。</w:t>
      </w:r>
    </w:p>
    <w:p>
      <w:pPr>
        <w:pStyle w:val="22"/>
        <w:ind w:firstLine="480"/>
      </w:pPr>
      <w:r>
        <w:rPr>
          <w:rFonts w:hint="eastAsia"/>
        </w:rPr>
        <w:t>4</w:t>
      </w:r>
      <w:r>
        <w:t xml:space="preserve">.3.6 </w:t>
      </w:r>
      <w:r>
        <w:rPr>
          <w:rFonts w:hint="eastAsia"/>
        </w:rPr>
        <w:t>犯规说明</w:t>
      </w:r>
    </w:p>
    <w:p>
      <w:pPr>
        <w:pStyle w:val="22"/>
        <w:numPr>
          <w:ilvl w:val="0"/>
          <w:numId w:val="3"/>
        </w:numPr>
        <w:ind w:firstLineChars="0"/>
      </w:pPr>
      <w:r>
        <w:rPr>
          <w:rFonts w:hint="eastAsia"/>
        </w:rPr>
        <w:t>每轮比赛的罚分为3次启动机会中产生的所有罚分的总和。</w:t>
      </w:r>
    </w:p>
    <w:p>
      <w:pPr>
        <w:pStyle w:val="22"/>
        <w:numPr>
          <w:ilvl w:val="0"/>
          <w:numId w:val="3"/>
        </w:numPr>
        <w:ind w:firstLineChars="0"/>
        <w:rPr>
          <w:sz w:val="32"/>
        </w:rPr>
      </w:pPr>
      <w:r>
        <w:rPr>
          <w:rFonts w:hint="eastAsia"/>
        </w:rPr>
        <w:t>校车行驶过程中，需要在停车线之前识别每个交通指示牌的内容，并根据规则做出对应的动作。如果动作错误或者在越过停车线以后才做出对应动作</w:t>
      </w:r>
      <w:r>
        <w:t>，则判为违反交通规则，每次扣10分。</w:t>
      </w:r>
    </w:p>
    <w:p>
      <w:pPr>
        <w:pStyle w:val="22"/>
        <w:numPr>
          <w:ilvl w:val="0"/>
          <w:numId w:val="3"/>
        </w:numPr>
        <w:ind w:firstLineChars="0"/>
      </w:pPr>
      <w:r>
        <w:rPr>
          <w:rFonts w:hint="eastAsia"/>
        </w:rPr>
        <w:t>交通指示牌在支架上单侧放置，校车在行驶过程中，不能从看不见指示牌内容的方向经过停车线。每次违反扣1</w:t>
      </w:r>
      <w:r>
        <w:t>0</w:t>
      </w:r>
      <w:r>
        <w:rPr>
          <w:rFonts w:hint="eastAsia"/>
        </w:rPr>
        <w:t>分。</w:t>
      </w:r>
    </w:p>
    <w:p>
      <w:pPr>
        <w:pStyle w:val="22"/>
        <w:numPr>
          <w:ilvl w:val="0"/>
          <w:numId w:val="3"/>
        </w:numPr>
        <w:ind w:firstLineChars="0"/>
      </w:pPr>
      <w:r>
        <w:rPr>
          <w:rFonts w:hint="eastAsia"/>
        </w:rPr>
        <w:t>校车在行驶过程中不可再次经过学校，每次违反扣1</w:t>
      </w:r>
      <w:r>
        <w:t>0</w:t>
      </w:r>
      <w:r>
        <w:rPr>
          <w:rFonts w:hint="eastAsia"/>
        </w:rPr>
        <w:t>分。</w:t>
      </w:r>
    </w:p>
    <w:p>
      <w:pPr>
        <w:pStyle w:val="22"/>
        <w:numPr>
          <w:ilvl w:val="0"/>
          <w:numId w:val="3"/>
        </w:numPr>
        <w:ind w:firstLineChars="0"/>
      </w:pPr>
      <w:r>
        <w:rPr>
          <w:rFonts w:hint="eastAsia"/>
        </w:rPr>
        <w:t>校车在行驶过程中，车轮不可压到道路线。压线分为两种情况，压线情况1：如果校车运行轨迹与道路相符，但是有一轮压到道路线或线外，则每压到一次扣1</w:t>
      </w:r>
      <w:r>
        <w:t>0</w:t>
      </w:r>
      <w:r>
        <w:rPr>
          <w:rFonts w:hint="eastAsia"/>
        </w:rPr>
        <w:t>分，扣分上限3</w:t>
      </w:r>
      <w:r>
        <w:t>0</w:t>
      </w:r>
      <w:r>
        <w:rPr>
          <w:rFonts w:hint="eastAsia"/>
        </w:rPr>
        <w:t>分。若校车保持压线情况1的状态超过3秒，则丧失此次启动机会。压线情况2：校车冲出道路范围（校车垂直投影全部离开道路范围），则丧失此次启动机会。情况判断示意图如下所示。</w:t>
      </w:r>
    </w:p>
    <w:tbl>
      <w:tblPr>
        <w:tblStyle w:val="17"/>
        <w:tblW w:w="0" w:type="auto"/>
        <w:tblInd w:w="-3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975"/>
        <w:gridCol w:w="3134"/>
        <w:gridCol w:w="36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9427" w:type="dxa"/>
            <w:gridSpan w:val="3"/>
          </w:tcPr>
          <w:p>
            <w:pPr>
              <w:pStyle w:val="22"/>
              <w:ind w:firstLine="480"/>
            </w:pPr>
            <w:r>
              <w:drawing>
                <wp:inline distT="0" distB="0" distL="0" distR="0">
                  <wp:extent cx="5842000" cy="1976120"/>
                  <wp:effectExtent l="0" t="0" r="6350" b="508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32"/>
                          <a:stretch>
                            <a:fillRect/>
                          </a:stretch>
                        </pic:blipFill>
                        <pic:spPr>
                          <a:xfrm>
                            <a:off x="0" y="0"/>
                            <a:ext cx="5842000" cy="1976120"/>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764" w:type="dxa"/>
          </w:tcPr>
          <w:p>
            <w:pPr>
              <w:pStyle w:val="22"/>
              <w:ind w:firstLine="400"/>
              <w:jc w:val="center"/>
              <w:rPr>
                <w:sz w:val="20"/>
                <w:szCs w:val="18"/>
              </w:rPr>
            </w:pPr>
            <w:r>
              <w:rPr>
                <w:rFonts w:hint="eastAsia"/>
                <w:sz w:val="20"/>
                <w:szCs w:val="18"/>
              </w:rPr>
              <w:t>压线情况1</w:t>
            </w:r>
          </w:p>
        </w:tc>
        <w:tc>
          <w:tcPr>
            <w:tcW w:w="2977" w:type="dxa"/>
          </w:tcPr>
          <w:p>
            <w:pPr>
              <w:pStyle w:val="22"/>
              <w:ind w:firstLine="400"/>
              <w:jc w:val="center"/>
              <w:rPr>
                <w:sz w:val="20"/>
                <w:szCs w:val="18"/>
              </w:rPr>
            </w:pPr>
            <w:r>
              <w:rPr>
                <w:rFonts w:hint="eastAsia"/>
                <w:sz w:val="20"/>
                <w:szCs w:val="18"/>
              </w:rPr>
              <w:t>压线情况1</w:t>
            </w:r>
          </w:p>
        </w:tc>
        <w:tc>
          <w:tcPr>
            <w:tcW w:w="3686" w:type="dxa"/>
          </w:tcPr>
          <w:p>
            <w:pPr>
              <w:pStyle w:val="22"/>
              <w:ind w:firstLine="400"/>
              <w:jc w:val="center"/>
              <w:rPr>
                <w:sz w:val="20"/>
                <w:szCs w:val="18"/>
              </w:rPr>
            </w:pPr>
            <w:r>
              <w:rPr>
                <w:rFonts w:hint="eastAsia"/>
                <w:sz w:val="20"/>
                <w:szCs w:val="18"/>
              </w:rPr>
              <w:t>压线情况2</w:t>
            </w:r>
          </w:p>
        </w:tc>
      </w:tr>
    </w:tbl>
    <w:p>
      <w:pPr>
        <w:pStyle w:val="2"/>
      </w:pPr>
      <w:bookmarkStart w:id="13" w:name="_Toc38290912"/>
      <w:r>
        <w:t>5</w:t>
      </w:r>
      <w:r>
        <w:rPr>
          <w:rFonts w:hint="eastAsia"/>
        </w:rPr>
        <w:t>、</w:t>
      </w:r>
      <w:r>
        <w:t>赛事整体流程</w:t>
      </w:r>
      <w:bookmarkEnd w:id="13"/>
    </w:p>
    <w:p>
      <w:pPr>
        <w:pStyle w:val="22"/>
        <w:ind w:firstLine="480"/>
      </w:pPr>
      <w:r>
        <w:rPr>
          <w:rFonts w:hint="eastAsia"/>
        </w:rPr>
        <w:t>赛事</w:t>
      </w:r>
      <w:r>
        <w:t>具体时间及流程安排以</w:t>
      </w:r>
      <w:r>
        <w:rPr>
          <w:rFonts w:hint="eastAsia"/>
        </w:rPr>
        <w:t>各省市实际安排和通知为准。</w:t>
      </w:r>
    </w:p>
    <w:p>
      <w:pPr>
        <w:pStyle w:val="3"/>
      </w:pPr>
      <w:bookmarkStart w:id="14" w:name="_Toc38290913"/>
      <w:r>
        <w:rPr>
          <w:rFonts w:hint="eastAsia"/>
        </w:rPr>
        <w:t>5</w:t>
      </w:r>
      <w:r>
        <w:t>.1</w:t>
      </w:r>
      <w:r>
        <w:rPr>
          <w:rFonts w:hint="eastAsia"/>
        </w:rPr>
        <w:t>、</w:t>
      </w:r>
      <w:r>
        <w:t xml:space="preserve"> </w:t>
      </w:r>
      <w:r>
        <w:rPr>
          <w:rFonts w:hint="eastAsia"/>
        </w:rPr>
        <w:t>赛制</w:t>
      </w:r>
      <w:bookmarkEnd w:id="14"/>
    </w:p>
    <w:p>
      <w:pPr>
        <w:pStyle w:val="22"/>
        <w:ind w:firstLine="480"/>
      </w:pPr>
      <w:r>
        <w:rPr>
          <w:rFonts w:hint="eastAsia"/>
        </w:rPr>
        <w:t>比赛</w:t>
      </w:r>
      <w:r>
        <w:t>共进行2轮。每轮均有一次调试准备时间和</w:t>
      </w:r>
      <w:r>
        <w:rPr>
          <w:rFonts w:hint="eastAsia"/>
        </w:rPr>
        <w:t>比赛</w:t>
      </w:r>
      <w:r>
        <w:t>机会，调试准备时间2小时，</w:t>
      </w:r>
      <w:r>
        <w:rPr>
          <w:rFonts w:hint="eastAsia"/>
        </w:rPr>
        <w:t>比赛</w:t>
      </w:r>
      <w:r>
        <w:t>时间为3分钟。</w:t>
      </w:r>
      <w:r>
        <w:rPr>
          <w:rFonts w:hint="eastAsia"/>
        </w:rPr>
        <w:t>每轮比赛的任务内容可能不同，以当地主办方实际安排为准</w:t>
      </w:r>
      <w:r>
        <w:t>。</w:t>
      </w:r>
    </w:p>
    <w:p>
      <w:pPr>
        <w:pStyle w:val="3"/>
      </w:pPr>
      <w:bookmarkStart w:id="15" w:name="_Toc38290914"/>
      <w:r>
        <w:rPr>
          <w:rFonts w:hint="eastAsia"/>
        </w:rPr>
        <w:t>5</w:t>
      </w:r>
      <w:r>
        <w:t>.2</w:t>
      </w:r>
      <w:r>
        <w:rPr>
          <w:rFonts w:hint="eastAsia"/>
        </w:rPr>
        <w:t>、</w:t>
      </w:r>
      <w:r>
        <w:t xml:space="preserve"> </w:t>
      </w:r>
      <w:r>
        <w:rPr>
          <w:rFonts w:hint="eastAsia"/>
        </w:rPr>
        <w:t>队伍报到、检录</w:t>
      </w:r>
      <w:bookmarkEnd w:id="15"/>
    </w:p>
    <w:p>
      <w:pPr>
        <w:pStyle w:val="22"/>
        <w:ind w:firstLine="480"/>
      </w:pPr>
      <w:r>
        <w:t>参赛队伍赛前需在规定时间内到报到处进行报到</w:t>
      </w:r>
      <w:r>
        <w:rPr>
          <w:rFonts w:hint="eastAsia"/>
        </w:rPr>
        <w:t>、</w:t>
      </w:r>
      <w:r>
        <w:t>进行报到检录，</w:t>
      </w:r>
      <w:r>
        <w:rPr>
          <w:rFonts w:hint="eastAsia"/>
        </w:rPr>
        <w:t>检录要求见“技术规则”，</w:t>
      </w:r>
      <w:r>
        <w:t>报到检录通过的队伍将被记录赛前检录通过状态</w:t>
      </w:r>
      <w:r>
        <w:rPr>
          <w:rFonts w:hint="eastAsia"/>
        </w:rPr>
        <w:t>，进入调试区</w:t>
      </w:r>
      <w:r>
        <w:t>。</w:t>
      </w:r>
      <w:r>
        <w:rPr>
          <w:rFonts w:hint="eastAsia"/>
        </w:rPr>
        <w:t>检录不通过的可进行现场调整，</w:t>
      </w:r>
      <w:r>
        <w:t>若在规定时间内，仍未通过报到检录，则该</w:t>
      </w:r>
      <w:r>
        <w:rPr>
          <w:rFonts w:hint="eastAsia"/>
        </w:rPr>
        <w:t>队</w:t>
      </w:r>
      <w:r>
        <w:t>失去比赛资格。</w:t>
      </w:r>
    </w:p>
    <w:p>
      <w:pPr>
        <w:pStyle w:val="3"/>
      </w:pPr>
      <w:bookmarkStart w:id="16" w:name="_Toc38290915"/>
      <w:r>
        <w:t>5.3</w:t>
      </w:r>
      <w:r>
        <w:rPr>
          <w:rFonts w:hint="eastAsia"/>
        </w:rPr>
        <w:t>、</w:t>
      </w:r>
      <w:r>
        <w:t xml:space="preserve"> </w:t>
      </w:r>
      <w:r>
        <w:rPr>
          <w:rFonts w:hint="eastAsia"/>
        </w:rPr>
        <w:t>调试准备</w:t>
      </w:r>
      <w:bookmarkEnd w:id="16"/>
    </w:p>
    <w:p>
      <w:pPr>
        <w:pStyle w:val="22"/>
        <w:ind w:firstLine="480"/>
      </w:pPr>
      <w:r>
        <w:rPr>
          <w:rFonts w:hint="eastAsia"/>
        </w:rPr>
        <w:t>队员进入调试区后，裁判进行抽签，使用赛项设置表公布本次任务的两个目的地、场地上会出现的6个交通指示牌的内容和现场任务内容，本场次所有队伍的目的地相同。各队根据任务内容进行结构调整和程序编写，测试程序时可使用调试区的调试场地。</w:t>
      </w:r>
    </w:p>
    <w:p>
      <w:pPr>
        <w:pStyle w:val="22"/>
        <w:ind w:firstLine="480"/>
      </w:pPr>
      <w:r>
        <w:rPr>
          <w:rFonts w:hint="eastAsia"/>
        </w:rPr>
        <w:t>调试场地和正式比赛场地的目的地相同，6个交通指示牌的内容和6个支架的位置也相同，但是交通指示牌的顺序有可能不同，以各省市的具体要求为准。编程调试过程中包含了路径规划的内容，如果调试地图中有设置“左转”或“右转”的路标，需要保证在正式地图中此路标不变。在放置交通标志时，要结合生活实际，保证一定的合理性。</w:t>
      </w:r>
    </w:p>
    <w:p>
      <w:pPr>
        <w:pStyle w:val="22"/>
        <w:ind w:firstLine="480"/>
      </w:pPr>
      <w:r>
        <w:rPr>
          <w:rFonts w:hint="eastAsia"/>
        </w:rPr>
        <w:t>调试过程中，裁判有权对队员携带的器材进行检查，所有器材必须符合规定和要求，若发现学生携带不符合要求的设备或已编好的程序，裁判有权取消参赛队伍的参赛资格。</w:t>
      </w:r>
    </w:p>
    <w:p>
      <w:pPr>
        <w:pStyle w:val="3"/>
      </w:pPr>
      <w:bookmarkStart w:id="17" w:name="_Toc38290916"/>
      <w:r>
        <w:rPr>
          <w:rFonts w:hint="eastAsia"/>
        </w:rPr>
        <w:t>5</w:t>
      </w:r>
      <w:r>
        <w:t>.4</w:t>
      </w:r>
      <w:r>
        <w:rPr>
          <w:rFonts w:hint="eastAsia"/>
        </w:rPr>
        <w:t>、</w:t>
      </w:r>
      <w:r>
        <w:t xml:space="preserve"> </w:t>
      </w:r>
      <w:r>
        <w:rPr>
          <w:rFonts w:hint="eastAsia"/>
        </w:rPr>
        <w:t>赛前确认</w:t>
      </w:r>
      <w:bookmarkEnd w:id="17"/>
    </w:p>
    <w:p>
      <w:pPr>
        <w:pStyle w:val="22"/>
        <w:ind w:firstLine="480"/>
      </w:pPr>
      <w:r>
        <w:rPr>
          <w:rFonts w:hint="eastAsia"/>
        </w:rPr>
        <w:t>调试时间结束后，本场次队伍全部停止调试，上交车体进行赛前检录，检录要求和报到检录一致，检录通过后进行封存，等待比赛开始。检录不通过的可进行现场调整，若在比赛开始前仍未通过检录，则该队失去比赛资格。</w:t>
      </w:r>
    </w:p>
    <w:p>
      <w:pPr>
        <w:pStyle w:val="3"/>
      </w:pPr>
      <w:bookmarkStart w:id="18" w:name="_Toc38290917"/>
      <w:r>
        <w:rPr>
          <w:rFonts w:hint="eastAsia"/>
        </w:rPr>
        <w:t>5</w:t>
      </w:r>
      <w:r>
        <w:t>.5</w:t>
      </w:r>
      <w:r>
        <w:rPr>
          <w:rFonts w:hint="eastAsia"/>
        </w:rPr>
        <w:t>、</w:t>
      </w:r>
      <w:r>
        <w:t xml:space="preserve"> </w:t>
      </w:r>
      <w:r>
        <w:rPr>
          <w:rFonts w:hint="eastAsia"/>
        </w:rPr>
        <w:t>进行比赛</w:t>
      </w:r>
      <w:bookmarkEnd w:id="18"/>
    </w:p>
    <w:p>
      <w:pPr>
        <w:pStyle w:val="22"/>
        <w:ind w:firstLine="480"/>
      </w:pPr>
      <w:r>
        <w:rPr>
          <w:rFonts w:hint="eastAsia"/>
        </w:rPr>
        <w:t>准备上场时，队员领取自己的校车，在工作人员的带领下进入比赛区，来到本队的赛场旁，抓紧时间做好校车启动前的准备工作。</w:t>
      </w:r>
    </w:p>
    <w:p>
      <w:pPr>
        <w:pStyle w:val="22"/>
        <w:ind w:firstLine="480"/>
      </w:pPr>
      <w:r>
        <w:rPr>
          <w:rFonts w:hint="eastAsia"/>
        </w:rPr>
        <w:t>裁判要检查交通指示牌支架位置是否有偏移，交通指示牌是否清晰可检测，让参赛队员确认场地设施正常。完成准备工作后，队员应向裁判示意。根据裁判的指令进行比赛。</w:t>
      </w:r>
    </w:p>
    <w:p>
      <w:pPr>
        <w:pStyle w:val="3"/>
      </w:pPr>
      <w:bookmarkStart w:id="19" w:name="_Toc38290918"/>
      <w:r>
        <w:rPr>
          <w:rFonts w:hint="eastAsia"/>
        </w:rPr>
        <w:t>5</w:t>
      </w:r>
      <w:r>
        <w:t>.6</w:t>
      </w:r>
      <w:r>
        <w:rPr>
          <w:rFonts w:hint="eastAsia"/>
        </w:rPr>
        <w:t>、</w:t>
      </w:r>
      <w:r>
        <w:t xml:space="preserve">  成绩确认</w:t>
      </w:r>
      <w:bookmarkEnd w:id="19"/>
    </w:p>
    <w:p>
      <w:pPr>
        <w:pStyle w:val="22"/>
        <w:ind w:firstLine="480"/>
      </w:pPr>
      <w:bookmarkStart w:id="20" w:name="_Hlk38313737"/>
      <w:r>
        <w:rPr>
          <w:rFonts w:hint="eastAsia"/>
        </w:rPr>
        <w:t>比赛结束后，队员应立即关断校车的电源，不得再与场上的无人车或任何物品接触。若不听从裁判劝阻，则本轮比赛清零。</w:t>
      </w:r>
    </w:p>
    <w:bookmarkEnd w:id="20"/>
    <w:p>
      <w:pPr>
        <w:pStyle w:val="22"/>
        <w:ind w:firstLine="480"/>
      </w:pPr>
      <w:r>
        <w:rPr>
          <w:rFonts w:hint="eastAsia"/>
        </w:rPr>
        <w:t>队长确认计分表上本队的成绩，如有疑议，可向裁判寻求解释或进行申诉。</w:t>
      </w:r>
    </w:p>
    <w:p>
      <w:pPr>
        <w:rPr>
          <w:rFonts w:hint="eastAsia" w:ascii="Noto Sans CJK JP Medium" w:hAnsi="Noto Sans CJK JP Medium" w:eastAsia="微软雅黑" w:cs="Noto Sans CJK JP Medium"/>
          <w:sz w:val="32"/>
          <w:szCs w:val="32"/>
        </w:rPr>
      </w:pPr>
      <w:bookmarkStart w:id="21" w:name="_TOC_250013"/>
      <w:bookmarkEnd w:id="21"/>
    </w:p>
    <w:p>
      <w:pPr>
        <w:pStyle w:val="3"/>
      </w:pPr>
      <w:bookmarkStart w:id="22" w:name="_Toc38290919"/>
      <w:r>
        <w:rPr>
          <w:rFonts w:hint="eastAsia"/>
        </w:rPr>
        <w:t>5</w:t>
      </w:r>
      <w:r>
        <w:t>.7</w:t>
      </w:r>
      <w:r>
        <w:rPr>
          <w:rFonts w:hint="eastAsia"/>
        </w:rPr>
        <w:t>、</w:t>
      </w:r>
      <w:r>
        <w:t xml:space="preserve">  单</w:t>
      </w:r>
      <w:r>
        <w:rPr>
          <w:rFonts w:hint="eastAsia"/>
        </w:rPr>
        <w:t>轮</w:t>
      </w:r>
      <w:r>
        <w:t>比赛流程图</w:t>
      </w:r>
      <w:bookmarkEnd w:id="22"/>
    </w:p>
    <w:p>
      <w:pPr>
        <w:spacing w:before="122" w:line="360" w:lineRule="auto"/>
        <w:ind w:right="866"/>
        <w:rPr>
          <w:rFonts w:ascii="微软雅黑" w:hAnsi="微软雅黑" w:eastAsia="微软雅黑"/>
          <w:b/>
          <w:sz w:val="18"/>
        </w:rPr>
        <w:sectPr>
          <w:headerReference r:id="rId5" w:type="default"/>
          <w:footerReference r:id="rId6" w:type="default"/>
          <w:pgSz w:w="11900" w:h="16850"/>
          <w:pgMar w:top="1760" w:right="1440" w:bottom="1420" w:left="1260" w:header="737" w:footer="1223" w:gutter="0"/>
          <w:cols w:space="720" w:num="1"/>
        </w:sectPr>
      </w:pPr>
      <w:r>
        <w:drawing>
          <wp:inline distT="0" distB="0" distL="0" distR="0">
            <wp:extent cx="5448300" cy="6591300"/>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a:xfrm>
                      <a:off x="0" y="0"/>
                      <a:ext cx="5448300" cy="6591300"/>
                    </a:xfrm>
                    <a:prstGeom prst="rect">
                      <a:avLst/>
                    </a:prstGeom>
                    <a:noFill/>
                    <a:ln>
                      <a:noFill/>
                    </a:ln>
                  </pic:spPr>
                </pic:pic>
              </a:graphicData>
            </a:graphic>
          </wp:inline>
        </w:drawing>
      </w:r>
    </w:p>
    <w:p>
      <w:pPr>
        <w:pStyle w:val="2"/>
      </w:pPr>
      <w:bookmarkStart w:id="23" w:name="_TOC_250012"/>
      <w:bookmarkEnd w:id="23"/>
      <w:bookmarkStart w:id="24" w:name="_TOC_250011"/>
      <w:bookmarkEnd w:id="24"/>
      <w:bookmarkStart w:id="25" w:name="_Toc38290920"/>
      <w:r>
        <w:t>6、赛事规则</w:t>
      </w:r>
      <w:bookmarkEnd w:id="25"/>
    </w:p>
    <w:p>
      <w:pPr>
        <w:pStyle w:val="3"/>
      </w:pPr>
      <w:bookmarkStart w:id="26" w:name="_TOC_250010"/>
      <w:bookmarkEnd w:id="26"/>
      <w:bookmarkStart w:id="27" w:name="_Toc38290921"/>
      <w:r>
        <w:t>6.1、技术规则</w:t>
      </w:r>
      <w:bookmarkEnd w:id="27"/>
    </w:p>
    <w:p>
      <w:pPr>
        <w:pStyle w:val="22"/>
        <w:ind w:firstLine="480"/>
        <w:rPr>
          <w:spacing w:val="-2"/>
        </w:rPr>
      </w:pPr>
      <w:r>
        <w:t xml:space="preserve">6.1.1 </w:t>
      </w:r>
      <w:r>
        <w:rPr>
          <w:rFonts w:hint="eastAsia"/>
        </w:rPr>
        <w:t>校车</w:t>
      </w:r>
      <w:r>
        <w:t>初始长宽</w:t>
      </w:r>
      <w:r>
        <w:rPr>
          <w:rFonts w:hint="eastAsia"/>
        </w:rPr>
        <w:t>高</w:t>
      </w:r>
      <w:r>
        <w:t>尺寸不得超过 250×200×250mm</w:t>
      </w:r>
      <w:r>
        <w:rPr>
          <w:rFonts w:hint="eastAsia"/>
        </w:rPr>
        <w:t>（长×宽×高）</w:t>
      </w:r>
      <w:r>
        <w:rPr>
          <w:rFonts w:hint="eastAsia"/>
          <w:spacing w:val="-2"/>
        </w:rPr>
        <w:t>。</w:t>
      </w:r>
    </w:p>
    <w:p>
      <w:pPr>
        <w:pStyle w:val="22"/>
        <w:ind w:firstLine="480"/>
      </w:pPr>
      <w:r>
        <w:t xml:space="preserve">6.1.2 </w:t>
      </w:r>
      <w:r>
        <w:rPr>
          <w:rFonts w:hint="eastAsia"/>
        </w:rPr>
        <w:t>单轮活动中，不允许更换控制器。每台校车只允许使用一台控制器，控制器，控制器要求必须采用开源硬件。</w:t>
      </w:r>
    </w:p>
    <w:p>
      <w:pPr>
        <w:pStyle w:val="22"/>
        <w:ind w:firstLine="480"/>
      </w:pPr>
      <w:r>
        <w:rPr>
          <w:rFonts w:hint="eastAsia"/>
        </w:rPr>
        <w:t>6</w:t>
      </w:r>
      <w:r>
        <w:t>.1.4 校车限制使用的驱动只能是电机或者舵机，两者仅限总线式的控制方式。</w:t>
      </w:r>
    </w:p>
    <w:p>
      <w:pPr>
        <w:pStyle w:val="22"/>
        <w:ind w:firstLine="480"/>
      </w:pPr>
      <w:r>
        <w:t>6.1.5 校车需要使用视觉传感器来侦测道路和识别交通标志牌，其他传感器的使用个数不限。</w:t>
      </w:r>
    </w:p>
    <w:p>
      <w:pPr>
        <w:pStyle w:val="22"/>
        <w:ind w:firstLine="480"/>
      </w:pPr>
      <w:r>
        <w:rPr>
          <w:rFonts w:hint="eastAsia"/>
        </w:rPr>
        <w:t>6</w:t>
      </w:r>
      <w:r>
        <w:t>.1.6 校车必须使用塑料材质的拼插式结构，不得使用扎带、螺钉、铆钉、胶水、胶带等辅助连接材料。</w:t>
      </w:r>
    </w:p>
    <w:p>
      <w:pPr>
        <w:pStyle w:val="22"/>
        <w:ind w:firstLine="480"/>
      </w:pPr>
      <w:r>
        <w:rPr>
          <w:rFonts w:hint="eastAsia"/>
        </w:rPr>
        <w:t>6</w:t>
      </w:r>
      <w:r>
        <w:t>.1.7 为了鼓励队员自主编程及真实考察队员的编程水平，队员不得使用遥控调试并记录数据的方式完成编程。</w:t>
      </w:r>
    </w:p>
    <w:p>
      <w:pPr>
        <w:pStyle w:val="22"/>
        <w:ind w:firstLine="480"/>
      </w:pPr>
      <w:r>
        <w:rPr>
          <w:rFonts w:hint="eastAsia"/>
        </w:rPr>
        <w:t>6</w:t>
      </w:r>
      <w:r>
        <w:t>.1.8 队员禁止携带U盘、手机等任何具有存储功能的设备进入场地。队员只能携带清空程序及所有参数的校车和电脑进入活动场地，并交裁判检查程序是否清空；未清空的，将由裁判负责清空</w:t>
      </w:r>
      <w:r>
        <w:rPr>
          <w:rFonts w:hint="eastAsia"/>
        </w:rPr>
        <w:t>。</w:t>
      </w:r>
    </w:p>
    <w:p>
      <w:pPr>
        <w:pStyle w:val="3"/>
      </w:pPr>
      <w:bookmarkStart w:id="28" w:name="_TOC_250009"/>
      <w:bookmarkEnd w:id="28"/>
      <w:bookmarkStart w:id="29" w:name="_Toc38290922"/>
      <w:r>
        <w:t>6.2</w:t>
      </w:r>
      <w:r>
        <w:rPr>
          <w:rFonts w:hint="eastAsia"/>
        </w:rPr>
        <w:t>、</w:t>
      </w:r>
      <w:r>
        <w:t>比赛规则</w:t>
      </w:r>
      <w:bookmarkEnd w:id="29"/>
    </w:p>
    <w:p>
      <w:pPr>
        <w:pStyle w:val="22"/>
        <w:ind w:firstLine="480"/>
      </w:pPr>
      <w:r>
        <w:rPr>
          <w:rFonts w:hint="eastAsia"/>
        </w:rPr>
        <w:t>6</w:t>
      </w:r>
      <w:r>
        <w:t>.2.1</w:t>
      </w:r>
      <w:r>
        <w:rPr>
          <w:rFonts w:hint="eastAsia"/>
        </w:rPr>
        <w:t>启动规范</w:t>
      </w:r>
    </w:p>
    <w:p>
      <w:pPr>
        <w:pStyle w:val="22"/>
        <w:ind w:firstLine="480"/>
      </w:pPr>
      <w:r>
        <w:rPr>
          <w:rFonts w:hint="eastAsia"/>
        </w:rPr>
        <w:t>启动时，车身垂直投影需要完全在学校范围内</w:t>
      </w:r>
      <w:r>
        <w:t>。裁判确认队伍已准备好以后，将发出“3、2、1，开始”的倒计时启动口令。随着倒计时开始，学生可以慢慢靠近校车，听到“开始”命令的第一个字起，学生可以触碰按钮或者给传感器一个信号去启动校车。在裁判发出“开始”命令前启动校车将被视为“误启动”并受到警告或处罚（计一次重启）。</w:t>
      </w:r>
    </w:p>
    <w:p>
      <w:pPr>
        <w:pStyle w:val="22"/>
        <w:ind w:firstLine="480"/>
      </w:pPr>
      <w:r>
        <w:rPr>
          <w:rFonts w:hint="eastAsia"/>
        </w:rPr>
        <w:t>6</w:t>
      </w:r>
      <w:r>
        <w:t xml:space="preserve">.2.2  </w:t>
      </w:r>
      <w:r>
        <w:rPr>
          <w:rFonts w:hint="eastAsia"/>
        </w:rPr>
        <w:t>重启规则</w:t>
      </w:r>
    </w:p>
    <w:p>
      <w:pPr>
        <w:pStyle w:val="22"/>
        <w:ind w:firstLine="480"/>
      </w:pPr>
      <w:r>
        <w:rPr>
          <w:rFonts w:hint="eastAsia"/>
        </w:rPr>
        <w:t>每轮比赛中，每队共有3次启动机会，当校车启动后发生故障、或违反相关规则、或未完整完成任务时，参赛队伍需举手向裁判示意，并口述“申请重启”，申请重启请求发出后，裁判口述“同意”后，参赛选手方可接触校车，调整完毕后放回启动位置（学校）后重新出发继续比赛，重新开始计分，校车方向不受限制。</w:t>
      </w:r>
    </w:p>
    <w:p>
      <w:pPr>
        <w:pStyle w:val="22"/>
        <w:ind w:firstLine="480"/>
      </w:pPr>
      <w:r>
        <w:rPr>
          <w:rFonts w:hint="eastAsia"/>
        </w:rPr>
        <w:t>若队员未经允许接触校车，则需进行重启。</w:t>
      </w:r>
    </w:p>
    <w:p>
      <w:pPr>
        <w:pStyle w:val="22"/>
        <w:ind w:firstLine="480"/>
      </w:pPr>
      <w:r>
        <w:rPr>
          <w:rFonts w:hint="eastAsia"/>
        </w:rPr>
        <w:t>6</w:t>
      </w:r>
      <w:r>
        <w:t xml:space="preserve">.2.3 </w:t>
      </w:r>
      <w:r>
        <w:rPr>
          <w:rFonts w:hint="eastAsia"/>
        </w:rPr>
        <w:t>场地设施</w:t>
      </w:r>
    </w:p>
    <w:p>
      <w:pPr>
        <w:pStyle w:val="22"/>
        <w:ind w:firstLine="480"/>
      </w:pPr>
      <w:r>
        <w:t>校车在行驶过程中不可损坏场地器材，如果损坏场地器材，则丧失此次启动机会。若因校车损坏场地设施导致的重启，裁判需要将场地设施复原，场地复原完成并得到裁判示意以后，参赛队员才可重新出发。</w:t>
      </w:r>
    </w:p>
    <w:p>
      <w:pPr>
        <w:pStyle w:val="22"/>
        <w:ind w:firstLine="480"/>
      </w:pPr>
      <w:r>
        <w:rPr>
          <w:rFonts w:hint="eastAsia"/>
        </w:rPr>
        <w:t>6</w:t>
      </w:r>
      <w:r>
        <w:t xml:space="preserve">.2.4 </w:t>
      </w:r>
      <w:r>
        <w:rPr>
          <w:rFonts w:hint="eastAsia"/>
        </w:rPr>
        <w:t>禁止从场外获取物品</w:t>
      </w:r>
    </w:p>
    <w:p>
      <w:pPr>
        <w:pStyle w:val="22"/>
        <w:ind w:firstLine="480"/>
      </w:pPr>
      <w:r>
        <w:t>在一</w:t>
      </w:r>
      <w:r>
        <w:rPr>
          <w:rFonts w:hint="eastAsia"/>
        </w:rPr>
        <w:t>轮</w:t>
      </w:r>
      <w:r>
        <w:t>比赛当中，不得更换</w:t>
      </w:r>
      <w:r>
        <w:rPr>
          <w:rFonts w:hint="eastAsia"/>
        </w:rPr>
        <w:t>校车</w:t>
      </w:r>
      <w:r>
        <w:t>或为</w:t>
      </w:r>
      <w:r>
        <w:rPr>
          <w:rFonts w:hint="eastAsia"/>
        </w:rPr>
        <w:t>校车</w:t>
      </w:r>
      <w:r>
        <w:t>新增</w:t>
      </w:r>
      <w:r>
        <w:rPr>
          <w:rFonts w:hint="eastAsia"/>
        </w:rPr>
        <w:t>任何零件</w:t>
      </w:r>
      <w:r>
        <w:rPr>
          <w:spacing w:val="2"/>
        </w:rPr>
        <w:t>，不得从场外获取任何物品</w:t>
      </w:r>
      <w:r>
        <w:rPr>
          <w:spacing w:val="4"/>
        </w:rPr>
        <w:t>（</w:t>
      </w:r>
      <w:r>
        <w:rPr>
          <w:spacing w:val="2"/>
        </w:rPr>
        <w:t>应急的药品及医疗用品除外</w:t>
      </w:r>
      <w:r>
        <w:rPr>
          <w:spacing w:val="3"/>
        </w:rPr>
        <w:t>）</w:t>
      </w:r>
      <w:r>
        <w:rPr>
          <w:spacing w:val="1"/>
        </w:rPr>
        <w:t>，否则</w:t>
      </w:r>
      <w:r>
        <w:rPr>
          <w:rFonts w:hint="eastAsia"/>
          <w:spacing w:val="1"/>
        </w:rPr>
        <w:t>取消该队伍本轮成绩。</w:t>
      </w:r>
      <w:r>
        <w:t>“场外”是指参赛队伍所在赛场以外的</w:t>
      </w:r>
      <w:r>
        <w:rPr>
          <w:rFonts w:hint="eastAsia"/>
        </w:rPr>
        <w:t>所有</w:t>
      </w:r>
      <w:r>
        <w:t>区域</w:t>
      </w:r>
      <w:r>
        <w:rPr>
          <w:w w:val="105"/>
        </w:rPr>
        <w:t>。</w:t>
      </w:r>
    </w:p>
    <w:p>
      <w:pPr>
        <w:pStyle w:val="3"/>
      </w:pPr>
      <w:bookmarkStart w:id="30" w:name="_TOC_250008"/>
      <w:bookmarkEnd w:id="30"/>
      <w:bookmarkStart w:id="31" w:name="_Toc38290923"/>
      <w:r>
        <w:rPr>
          <w:rFonts w:hint="eastAsia"/>
        </w:rPr>
        <w:t>6</w:t>
      </w:r>
      <w:r>
        <w:t>.3、参赛选手规则</w:t>
      </w:r>
      <w:bookmarkEnd w:id="31"/>
    </w:p>
    <w:p>
      <w:pPr>
        <w:pStyle w:val="22"/>
        <w:ind w:firstLine="498"/>
        <w:rPr>
          <w:sz w:val="32"/>
        </w:rPr>
      </w:pPr>
      <w:r>
        <w:rPr>
          <w:spacing w:val="9"/>
        </w:rPr>
        <w:t>6.3.1 参赛选手应以积极的心态面对</w:t>
      </w:r>
      <w:r>
        <w:rPr>
          <w:rFonts w:hint="eastAsia"/>
          <w:spacing w:val="9"/>
        </w:rPr>
        <w:t>比赛，</w:t>
      </w:r>
      <w:r>
        <w:rPr>
          <w:spacing w:val="9"/>
        </w:rPr>
        <w:t>自主地处理在比赛中遇到的所有问题，自</w:t>
      </w:r>
      <w:r>
        <w:t>尊、自重，友善地</w:t>
      </w:r>
      <w:r>
        <w:rPr>
          <w:rFonts w:hint="eastAsia"/>
        </w:rPr>
        <w:t>对待</w:t>
      </w:r>
      <w:r>
        <w:t>队友、对手、志愿者、裁判和所有为比赛付出辛劳的人，努力把自己培养成为有健全人格和健康心理的人。</w:t>
      </w:r>
    </w:p>
    <w:p>
      <w:pPr>
        <w:pStyle w:val="22"/>
        <w:ind w:firstLine="480"/>
      </w:pPr>
      <w:r>
        <w:t>6.3.2  参赛选手在上场后未经裁判允许，</w:t>
      </w:r>
      <w:r>
        <w:rPr>
          <w:rFonts w:hint="eastAsia"/>
        </w:rPr>
        <w:t>不可离开赛场区域。</w:t>
      </w:r>
      <w:r>
        <w:t>操作区具体尺寸以及布置形式可能根据比赛场地情况进行微调。</w:t>
      </w:r>
    </w:p>
    <w:p>
      <w:pPr>
        <w:pStyle w:val="22"/>
        <w:ind w:firstLine="480"/>
      </w:pPr>
      <w:r>
        <w:t xml:space="preserve">6.3.3  </w:t>
      </w:r>
      <w:r>
        <w:rPr>
          <w:spacing w:val="1"/>
        </w:rPr>
        <w:t xml:space="preserve">参赛队伍需在比赛开始前至少 </w:t>
      </w:r>
      <w:r>
        <w:t>5 分钟到达对应比赛场地，</w:t>
      </w:r>
      <w:r>
        <w:rPr>
          <w:rFonts w:hint="eastAsia"/>
        </w:rPr>
        <w:t>如果比赛正式开始后仍未到场，取消该队伍本轮比赛成绩。</w:t>
      </w:r>
    </w:p>
    <w:p>
      <w:pPr>
        <w:pStyle w:val="22"/>
        <w:ind w:firstLine="480"/>
      </w:pPr>
      <w:r>
        <w:rPr>
          <w:rFonts w:hint="eastAsia"/>
        </w:rPr>
        <w:t>6</w:t>
      </w:r>
      <w:r>
        <w:t>.3.4  在单</w:t>
      </w:r>
      <w:r>
        <w:rPr>
          <w:rFonts w:hint="eastAsia"/>
        </w:rPr>
        <w:t>轮</w:t>
      </w:r>
      <w:r>
        <w:t>比赛中，若</w:t>
      </w:r>
      <w:r>
        <w:rPr>
          <w:rFonts w:hint="eastAsia"/>
        </w:rPr>
        <w:t>某参赛</w:t>
      </w:r>
      <w:r>
        <w:t>队伍中的某位队友因迟到等原因未能在比赛规定时间内到达比赛场地，缺席一方的队友向裁判</w:t>
      </w:r>
      <w:r>
        <w:rPr>
          <w:rFonts w:hint="eastAsia"/>
        </w:rPr>
        <w:t>报备</w:t>
      </w:r>
      <w:r>
        <w:t>后可</w:t>
      </w:r>
      <w:r>
        <w:rPr>
          <w:rFonts w:hint="eastAsia"/>
        </w:rPr>
        <w:t>继续比赛</w:t>
      </w:r>
      <w:r>
        <w:t>。</w:t>
      </w:r>
    </w:p>
    <w:p>
      <w:pPr>
        <w:pStyle w:val="22"/>
        <w:ind w:firstLine="498"/>
      </w:pPr>
      <w:r>
        <w:rPr>
          <w:rFonts w:hint="eastAsia"/>
          <w:spacing w:val="9"/>
        </w:rPr>
        <w:t>6</w:t>
      </w:r>
      <w:r>
        <w:rPr>
          <w:spacing w:val="9"/>
        </w:rPr>
        <w:t>.3.5  参赛队伍需遵循赛事精神，不得做出争吵或辱骂他人、发生肢体冲突、盗</w:t>
      </w:r>
      <w:r>
        <w:t>窃、破坏其他队伍机器人或其他物品、不遵守比赛场馆行为准则等不文明行为，否则将由裁判委员会共同商讨，可</w:t>
      </w:r>
      <w:r>
        <w:rPr>
          <w:rFonts w:hint="eastAsia"/>
        </w:rPr>
        <w:t>作</w:t>
      </w:r>
      <w:r>
        <w:t>出取消比赛资格的处罚。</w:t>
      </w:r>
    </w:p>
    <w:p>
      <w:pPr>
        <w:pStyle w:val="22"/>
        <w:ind w:firstLine="480"/>
      </w:pPr>
      <w:r>
        <w:rPr>
          <w:rFonts w:hint="eastAsia"/>
        </w:rPr>
        <w:t>6</w:t>
      </w:r>
      <w:r>
        <w:t>.3.6  参赛队伍需具备安全意识，不得做出威胁己方队伍及其他人员安全的行为， 包含但不仅限于违规使用排插、使用明火、携带不安全物品进入比赛场馆等行为。</w:t>
      </w:r>
    </w:p>
    <w:p>
      <w:pPr>
        <w:pStyle w:val="22"/>
        <w:ind w:firstLine="478"/>
      </w:pPr>
      <w:r>
        <w:rPr>
          <w:rFonts w:hint="eastAsia"/>
          <w:spacing w:val="-1"/>
        </w:rPr>
        <w:t>6</w:t>
      </w:r>
      <w:r>
        <w:rPr>
          <w:spacing w:val="-1"/>
        </w:rPr>
        <w:t>.3.7  在比赛进行中，队伍指导老师及随队人员不得进入比赛场地，不得在场外以</w:t>
      </w:r>
      <w:r>
        <w:t>任何形式干扰场上比赛，若出现指导老师及随队人员指导队伍比赛、干扰其他队伍比赛等行为，裁判有权作出取消比赛资格等判罚；若参赛选手在未经裁判允许的情况下私自与指导老师或随队人员联系，将被取消比赛资格。</w:t>
      </w:r>
    </w:p>
    <w:p>
      <w:pPr>
        <w:pStyle w:val="22"/>
        <w:ind w:firstLine="480"/>
      </w:pPr>
      <w:r>
        <w:rPr>
          <w:rFonts w:hint="eastAsia"/>
        </w:rPr>
        <w:t>6</w:t>
      </w:r>
      <w:r>
        <w:t>.3.8  顶撞辱骂裁判、对裁判进行人格侮辱将被取消比赛资格。</w:t>
      </w:r>
    </w:p>
    <w:p>
      <w:pPr>
        <w:pStyle w:val="22"/>
        <w:ind w:firstLine="480"/>
      </w:pPr>
      <w:r>
        <w:rPr>
          <w:rFonts w:hint="eastAsia"/>
        </w:rPr>
        <w:t>6</w:t>
      </w:r>
      <w:r>
        <w:t>.3.9  参赛选手的年龄需符合参赛要求，若有不符合要求者，一经发现或被举报，验证属实后，将被取消比赛资格。</w:t>
      </w:r>
    </w:p>
    <w:p>
      <w:pPr>
        <w:pStyle w:val="3"/>
      </w:pPr>
      <w:bookmarkStart w:id="32" w:name="_TOC_250007"/>
      <w:bookmarkEnd w:id="32"/>
      <w:bookmarkStart w:id="33" w:name="_Toc38290924"/>
      <w:r>
        <w:rPr>
          <w:rFonts w:hint="eastAsia"/>
        </w:rPr>
        <w:t>6</w:t>
      </w:r>
      <w:r>
        <w:t>.4、</w:t>
      </w:r>
      <w:r>
        <w:rPr>
          <w:rFonts w:hint="eastAsia"/>
        </w:rPr>
        <w:t>最终成绩</w:t>
      </w:r>
      <w:bookmarkEnd w:id="33"/>
    </w:p>
    <w:p>
      <w:pPr>
        <w:pStyle w:val="22"/>
        <w:ind w:firstLine="480"/>
      </w:pPr>
      <w:r>
        <w:rPr>
          <w:rFonts w:hint="eastAsia"/>
        </w:rPr>
        <w:t>6</w:t>
      </w:r>
      <w:r>
        <w:t>.4.1  每轮活动结束后，按实际情况计算本轮得分。两轮活动结束后，将两轮活动中的得分相加，作为最终成绩。</w:t>
      </w:r>
    </w:p>
    <w:p>
      <w:pPr>
        <w:pStyle w:val="22"/>
        <w:ind w:firstLine="480"/>
      </w:pPr>
      <w:r>
        <w:rPr>
          <w:rFonts w:hint="eastAsia"/>
        </w:rPr>
        <w:t>6</w:t>
      </w:r>
      <w:r>
        <w:t>.4.2  每个组按</w:t>
      </w:r>
      <w:r>
        <w:rPr>
          <w:rFonts w:hint="eastAsia"/>
        </w:rPr>
        <w:t>最终</w:t>
      </w:r>
      <w:r>
        <w:t>成绩排名，最终得分高的排名靠前。如果出现得分相同的情况，按如下顺序决定先后：</w:t>
      </w:r>
    </w:p>
    <w:p>
      <w:pPr>
        <w:pStyle w:val="22"/>
        <w:numPr>
          <w:ilvl w:val="0"/>
          <w:numId w:val="4"/>
        </w:numPr>
        <w:ind w:firstLineChars="0"/>
      </w:pPr>
      <w:r>
        <w:t>用时最少的排名在前；</w:t>
      </w:r>
    </w:p>
    <w:p>
      <w:pPr>
        <w:pStyle w:val="22"/>
        <w:numPr>
          <w:ilvl w:val="0"/>
          <w:numId w:val="4"/>
        </w:numPr>
        <w:ind w:firstLineChars="0"/>
      </w:pPr>
      <w:r>
        <w:t>重启次数少的排名在前；</w:t>
      </w:r>
    </w:p>
    <w:p>
      <w:pPr>
        <w:pStyle w:val="22"/>
        <w:ind w:firstLine="480"/>
      </w:pPr>
      <w:r>
        <w:rPr>
          <w:rFonts w:hint="eastAsia"/>
        </w:rPr>
        <w:t>6</w:t>
      </w:r>
      <w:r>
        <w:t>.4.3  分数最低为0分，不能为负分。</w:t>
      </w:r>
    </w:p>
    <w:p>
      <w:pPr>
        <w:pStyle w:val="7"/>
        <w:spacing w:before="19"/>
        <w:ind w:left="128" w:right="55" w:firstLine="120"/>
        <w:rPr>
          <w:sz w:val="6"/>
        </w:rPr>
      </w:pPr>
    </w:p>
    <w:p>
      <w:pPr>
        <w:pStyle w:val="3"/>
      </w:pPr>
      <w:bookmarkStart w:id="34" w:name="_TOC_250005"/>
      <w:bookmarkEnd w:id="34"/>
      <w:bookmarkStart w:id="35" w:name="_TOC_250006"/>
      <w:bookmarkEnd w:id="35"/>
      <w:bookmarkStart w:id="36" w:name="_Toc38290925"/>
      <w:r>
        <w:rPr>
          <w:rFonts w:hint="eastAsia"/>
        </w:rPr>
        <w:t>6</w:t>
      </w:r>
      <w:r>
        <w:t>.5</w:t>
      </w:r>
      <w:r>
        <w:rPr>
          <w:rFonts w:hint="eastAsia"/>
        </w:rPr>
        <w:t>、</w:t>
      </w:r>
      <w:r>
        <w:t>异常状态</w:t>
      </w:r>
      <w:bookmarkEnd w:id="36"/>
    </w:p>
    <w:p>
      <w:pPr>
        <w:pStyle w:val="22"/>
        <w:ind w:firstLine="480"/>
      </w:pPr>
      <w:r>
        <w:rPr>
          <w:rFonts w:hint="eastAsia"/>
        </w:rPr>
        <w:t>6</w:t>
      </w:r>
      <w:r>
        <w:t>.5.1  重赛：主要原因可能是现场工作人员、系统、现场控制或场地本身的失误， 或由于不可抗力导致比赛中断，经核实与商议后，由裁判长慎重决定是否重赛。由于</w:t>
      </w:r>
      <w:r>
        <w:rPr>
          <w:rFonts w:hint="eastAsia"/>
        </w:rPr>
        <w:t>参赛队员的</w:t>
      </w:r>
      <w:r>
        <w:t>操作失误或电池电量不足造成的比赛中断甚至终止，都不会进行重赛。</w:t>
      </w:r>
    </w:p>
    <w:p>
      <w:pPr>
        <w:pStyle w:val="22"/>
        <w:ind w:firstLine="480"/>
      </w:pPr>
      <w:r>
        <w:rPr>
          <w:rFonts w:hint="eastAsia"/>
        </w:rPr>
        <w:t>6</w:t>
      </w:r>
      <w:r>
        <w:t>.5.2  弃赛：</w:t>
      </w:r>
      <w:bookmarkStart w:id="37" w:name="_Hlk38290521"/>
      <w:r>
        <w:rPr>
          <w:rFonts w:hint="eastAsia"/>
        </w:rPr>
        <w:t>参赛队员</w:t>
      </w:r>
      <w:bookmarkEnd w:id="37"/>
      <w:r>
        <w:t>应具有积极备赛的竞赛精神，如因自身原因或不可抗力因素未能参加当场场次的比赛，需到现场签字确认或以其他方式告知组委会。</w:t>
      </w:r>
    </w:p>
    <w:p>
      <w:pPr>
        <w:pStyle w:val="3"/>
      </w:pPr>
      <w:bookmarkStart w:id="38" w:name="_TOC_250004"/>
      <w:bookmarkEnd w:id="38"/>
      <w:bookmarkStart w:id="39" w:name="_Toc38290926"/>
      <w:r>
        <w:rPr>
          <w:rFonts w:hint="eastAsia"/>
        </w:rPr>
        <w:t>6</w:t>
      </w:r>
      <w:r>
        <w:t>.6</w:t>
      </w:r>
      <w:r>
        <w:rPr>
          <w:rFonts w:hint="eastAsia"/>
        </w:rPr>
        <w:t>、</w:t>
      </w:r>
      <w:r>
        <w:t>队伍申诉</w:t>
      </w:r>
      <w:bookmarkEnd w:id="39"/>
    </w:p>
    <w:p>
      <w:pPr>
        <w:pStyle w:val="22"/>
        <w:ind w:firstLine="480"/>
      </w:pPr>
      <w:r>
        <w:t>6.6.1  比赛结束后，若参赛选手对比赛成绩有异议，当局裁判必要的解释无效后，</w:t>
      </w:r>
      <w:r>
        <w:rPr>
          <w:rFonts w:hint="eastAsia"/>
        </w:rPr>
        <w:t>裁判</w:t>
      </w:r>
      <w:r>
        <w:t>可在计分表备注栏上描述争议点所在，然后参赛选手到</w:t>
      </w:r>
      <w:r>
        <w:rPr>
          <w:rFonts w:hint="eastAsia"/>
        </w:rPr>
        <w:t>裁判长处</w:t>
      </w:r>
      <w:r>
        <w:t>进行登记说明， 此阶段</w:t>
      </w:r>
      <w:r>
        <w:rPr>
          <w:rFonts w:hint="eastAsia"/>
        </w:rPr>
        <w:t>比</w:t>
      </w:r>
      <w:r>
        <w:t>赛结束后，</w:t>
      </w:r>
      <w:r>
        <w:rPr>
          <w:rFonts w:hint="eastAsia"/>
        </w:rPr>
        <w:t>组委会</w:t>
      </w:r>
      <w:r>
        <w:t>会对申诉进行反馈。</w:t>
      </w:r>
    </w:p>
    <w:p>
      <w:pPr>
        <w:pStyle w:val="22"/>
        <w:ind w:firstLine="480"/>
      </w:pPr>
      <w:r>
        <w:rPr>
          <w:rFonts w:hint="eastAsia"/>
        </w:rPr>
        <w:t>6</w:t>
      </w:r>
      <w:r>
        <w:t>.6.2  申诉要求：队伍申诉应按照规定的流程，在相应场次比赛结束后（以计分表上记录的比赛结束时间为准）</w:t>
      </w:r>
      <w:r>
        <w:rPr>
          <w:spacing w:val="6"/>
        </w:rPr>
        <w:t xml:space="preserve">的 </w:t>
      </w:r>
      <w:r>
        <w:t>10</w:t>
      </w:r>
      <w:r>
        <w:rPr>
          <w:spacing w:val="1"/>
        </w:rPr>
        <w:t xml:space="preserve"> 分钟内提出，未能在赛后 </w:t>
      </w:r>
      <w:r>
        <w:t>10</w:t>
      </w:r>
      <w:r>
        <w:rPr>
          <w:spacing w:val="-2"/>
        </w:rPr>
        <w:t xml:space="preserve"> 分钟内到</w:t>
      </w:r>
      <w:r>
        <w:rPr>
          <w:rFonts w:hint="eastAsia"/>
          <w:spacing w:val="-2"/>
        </w:rPr>
        <w:t>裁判长处</w:t>
      </w:r>
      <w:r>
        <w:rPr>
          <w:spacing w:val="-2"/>
        </w:rPr>
        <w:t>提</w:t>
      </w:r>
      <w:r>
        <w:t>交的申诉，将被视为无效申诉且不予受理。</w:t>
      </w:r>
    </w:p>
    <w:p>
      <w:pPr>
        <w:pStyle w:val="22"/>
        <w:ind w:firstLine="480"/>
      </w:pPr>
      <w:r>
        <w:rPr>
          <w:rFonts w:hint="eastAsia"/>
        </w:rPr>
        <w:t>6</w:t>
      </w:r>
      <w:r>
        <w:t>.6.3  组委会不接受指导老师或随队人员的申诉。</w:t>
      </w:r>
      <w:r>
        <w:rPr>
          <w:rFonts w:hint="eastAsia"/>
        </w:rPr>
        <w:t>组委会</w:t>
      </w:r>
      <w:r>
        <w:t>有权在回避指导老师、随队人员的环境下和申诉选手进行沟通。</w:t>
      </w:r>
    </w:p>
    <w:p>
      <w:pPr>
        <w:pStyle w:val="22"/>
        <w:ind w:firstLine="480"/>
      </w:pPr>
      <w:r>
        <w:rPr>
          <w:rFonts w:hint="eastAsia"/>
        </w:rPr>
        <w:t>6</w:t>
      </w:r>
      <w:r>
        <w:t>.6.4  由于视频及图片拍摄角度等问题，在处理申述过程中，</w:t>
      </w:r>
      <w:r>
        <w:rPr>
          <w:rFonts w:hint="eastAsia"/>
        </w:rPr>
        <w:t>组委会</w:t>
      </w:r>
      <w:r>
        <w:t>不会参考任何人提供的比赛视频及图片。</w:t>
      </w:r>
    </w:p>
    <w:sectPr>
      <w:pgSz w:w="11900" w:h="16850"/>
      <w:pgMar w:top="1760" w:right="1440" w:bottom="1420" w:left="1260" w:header="737" w:footer="1223"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Noto Sans CJK JP Regular">
    <w:altName w:val="Calibri"/>
    <w:panose1 w:val="00000000000000000000"/>
    <w:charset w:val="00"/>
    <w:family w:val="swiss"/>
    <w:pitch w:val="default"/>
    <w:sig w:usb0="00000000" w:usb1="00000000" w:usb2="00000000" w:usb3="00000000" w:csb0="00000000" w:csb1="00000000"/>
  </w:font>
  <w:font w:name="微软雅黑">
    <w:panose1 w:val="020B0503020204020204"/>
    <w:charset w:val="86"/>
    <w:family w:val="swiss"/>
    <w:pitch w:val="default"/>
    <w:sig w:usb0="80000287" w:usb1="280F3C52" w:usb2="00000016" w:usb3="00000000" w:csb0="0004001F" w:csb1="00000000"/>
  </w:font>
  <w:font w:name="Noto Sans CJK JP Medium">
    <w:altName w:val="Calibri"/>
    <w:panose1 w:val="00000000000000000000"/>
    <w:charset w:val="00"/>
    <w:family w:val="swiss"/>
    <w:pitch w:val="default"/>
    <w:sig w:usb0="00000000" w:usb1="00000000" w:usb2="00000000" w:usb3="00000000" w:csb0="00000000"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left="128" w:right="55" w:firstLine="400"/>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left="128" w:right="55" w:firstLine="400"/>
      <w:rPr>
        <w:sz w:val="2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left="128" w:right="55" w:firstLine="400"/>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left="128" w:right="55" w:firstLine="400"/>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FA29E3"/>
    <w:multiLevelType w:val="multilevel"/>
    <w:tmpl w:val="1AFA29E3"/>
    <w:lvl w:ilvl="0" w:tentative="0">
      <w:start w:val="1"/>
      <w:numFmt w:val="bullet"/>
      <w:lvlText w:val=""/>
      <w:lvlJc w:val="left"/>
      <w:pPr>
        <w:ind w:left="1229" w:hanging="420"/>
      </w:pPr>
      <w:rPr>
        <w:rFonts w:hint="default" w:ascii="Wingdings" w:hAnsi="Wingdings"/>
      </w:rPr>
    </w:lvl>
    <w:lvl w:ilvl="1" w:tentative="0">
      <w:start w:val="1"/>
      <w:numFmt w:val="bullet"/>
      <w:lvlText w:val=""/>
      <w:lvlJc w:val="left"/>
      <w:pPr>
        <w:ind w:left="1649" w:hanging="420"/>
      </w:pPr>
      <w:rPr>
        <w:rFonts w:hint="default" w:ascii="Wingdings" w:hAnsi="Wingdings" w:cs="Wingdings"/>
      </w:rPr>
    </w:lvl>
    <w:lvl w:ilvl="2" w:tentative="0">
      <w:start w:val="1"/>
      <w:numFmt w:val="bullet"/>
      <w:lvlText w:val=""/>
      <w:lvlJc w:val="left"/>
      <w:pPr>
        <w:ind w:left="2069" w:hanging="420"/>
      </w:pPr>
      <w:rPr>
        <w:rFonts w:hint="default" w:ascii="Wingdings" w:hAnsi="Wingdings" w:cs="Wingdings"/>
      </w:rPr>
    </w:lvl>
    <w:lvl w:ilvl="3" w:tentative="0">
      <w:start w:val="1"/>
      <w:numFmt w:val="bullet"/>
      <w:lvlText w:val=""/>
      <w:lvlJc w:val="left"/>
      <w:pPr>
        <w:ind w:left="2489" w:hanging="420"/>
      </w:pPr>
      <w:rPr>
        <w:rFonts w:hint="default" w:ascii="Wingdings" w:hAnsi="Wingdings" w:cs="Wingdings"/>
      </w:rPr>
    </w:lvl>
    <w:lvl w:ilvl="4" w:tentative="0">
      <w:start w:val="1"/>
      <w:numFmt w:val="bullet"/>
      <w:lvlText w:val=""/>
      <w:lvlJc w:val="left"/>
      <w:pPr>
        <w:ind w:left="2909" w:hanging="420"/>
      </w:pPr>
      <w:rPr>
        <w:rFonts w:hint="default" w:ascii="Wingdings" w:hAnsi="Wingdings" w:cs="Wingdings"/>
      </w:rPr>
    </w:lvl>
    <w:lvl w:ilvl="5" w:tentative="0">
      <w:start w:val="1"/>
      <w:numFmt w:val="bullet"/>
      <w:lvlText w:val=""/>
      <w:lvlJc w:val="left"/>
      <w:pPr>
        <w:ind w:left="3329" w:hanging="420"/>
      </w:pPr>
      <w:rPr>
        <w:rFonts w:hint="default" w:ascii="Wingdings" w:hAnsi="Wingdings" w:cs="Wingdings"/>
      </w:rPr>
    </w:lvl>
    <w:lvl w:ilvl="6" w:tentative="0">
      <w:start w:val="1"/>
      <w:numFmt w:val="bullet"/>
      <w:lvlText w:val=""/>
      <w:lvlJc w:val="left"/>
      <w:pPr>
        <w:ind w:left="3749" w:hanging="420"/>
      </w:pPr>
      <w:rPr>
        <w:rFonts w:hint="default" w:ascii="Wingdings" w:hAnsi="Wingdings" w:cs="Wingdings"/>
      </w:rPr>
    </w:lvl>
    <w:lvl w:ilvl="7" w:tentative="0">
      <w:start w:val="1"/>
      <w:numFmt w:val="bullet"/>
      <w:lvlText w:val=""/>
      <w:lvlJc w:val="left"/>
      <w:pPr>
        <w:ind w:left="4169" w:hanging="420"/>
      </w:pPr>
      <w:rPr>
        <w:rFonts w:hint="default" w:ascii="Wingdings" w:hAnsi="Wingdings" w:cs="Wingdings"/>
      </w:rPr>
    </w:lvl>
    <w:lvl w:ilvl="8" w:tentative="0">
      <w:start w:val="1"/>
      <w:numFmt w:val="bullet"/>
      <w:lvlText w:val=""/>
      <w:lvlJc w:val="left"/>
      <w:pPr>
        <w:ind w:left="4589" w:hanging="420"/>
      </w:pPr>
      <w:rPr>
        <w:rFonts w:hint="default" w:ascii="Wingdings" w:hAnsi="Wingdings" w:cs="Wingdings"/>
      </w:rPr>
    </w:lvl>
  </w:abstractNum>
  <w:abstractNum w:abstractNumId="1">
    <w:nsid w:val="56472367"/>
    <w:multiLevelType w:val="multilevel"/>
    <w:tmpl w:val="56472367"/>
    <w:lvl w:ilvl="0" w:tentative="0">
      <w:start w:val="0"/>
      <w:numFmt w:val="bullet"/>
      <w:lvlText w:val=""/>
      <w:lvlJc w:val="left"/>
      <w:pPr>
        <w:ind w:left="1229" w:hanging="420"/>
      </w:pPr>
      <w:rPr>
        <w:rFonts w:hint="default" w:ascii="Wingdings" w:hAnsi="Wingdings" w:eastAsia="Wingdings" w:cs="Wingdings"/>
        <w:w w:val="100"/>
        <w:sz w:val="24"/>
        <w:szCs w:val="24"/>
        <w:lang w:val="en-US" w:eastAsia="zh-CN" w:bidi="ar-SA"/>
      </w:rPr>
    </w:lvl>
    <w:lvl w:ilvl="1" w:tentative="0">
      <w:start w:val="1"/>
      <w:numFmt w:val="bullet"/>
      <w:lvlText w:val=""/>
      <w:lvlJc w:val="left"/>
      <w:pPr>
        <w:ind w:left="1649" w:hanging="420"/>
      </w:pPr>
      <w:rPr>
        <w:rFonts w:hint="default" w:ascii="Wingdings" w:hAnsi="Wingdings" w:cs="Wingdings"/>
      </w:rPr>
    </w:lvl>
    <w:lvl w:ilvl="2" w:tentative="0">
      <w:start w:val="1"/>
      <w:numFmt w:val="bullet"/>
      <w:lvlText w:val=""/>
      <w:lvlJc w:val="left"/>
      <w:pPr>
        <w:ind w:left="2069" w:hanging="420"/>
      </w:pPr>
      <w:rPr>
        <w:rFonts w:hint="default" w:ascii="Wingdings" w:hAnsi="Wingdings" w:cs="Wingdings"/>
      </w:rPr>
    </w:lvl>
    <w:lvl w:ilvl="3" w:tentative="0">
      <w:start w:val="1"/>
      <w:numFmt w:val="bullet"/>
      <w:lvlText w:val=""/>
      <w:lvlJc w:val="left"/>
      <w:pPr>
        <w:ind w:left="2489" w:hanging="420"/>
      </w:pPr>
      <w:rPr>
        <w:rFonts w:hint="default" w:ascii="Wingdings" w:hAnsi="Wingdings" w:cs="Wingdings"/>
      </w:rPr>
    </w:lvl>
    <w:lvl w:ilvl="4" w:tentative="0">
      <w:start w:val="1"/>
      <w:numFmt w:val="bullet"/>
      <w:lvlText w:val=""/>
      <w:lvlJc w:val="left"/>
      <w:pPr>
        <w:ind w:left="2909" w:hanging="420"/>
      </w:pPr>
      <w:rPr>
        <w:rFonts w:hint="default" w:ascii="Wingdings" w:hAnsi="Wingdings" w:cs="Wingdings"/>
      </w:rPr>
    </w:lvl>
    <w:lvl w:ilvl="5" w:tentative="0">
      <w:start w:val="1"/>
      <w:numFmt w:val="bullet"/>
      <w:lvlText w:val=""/>
      <w:lvlJc w:val="left"/>
      <w:pPr>
        <w:ind w:left="3329" w:hanging="420"/>
      </w:pPr>
      <w:rPr>
        <w:rFonts w:hint="default" w:ascii="Wingdings" w:hAnsi="Wingdings" w:cs="Wingdings"/>
      </w:rPr>
    </w:lvl>
    <w:lvl w:ilvl="6" w:tentative="0">
      <w:start w:val="1"/>
      <w:numFmt w:val="bullet"/>
      <w:lvlText w:val=""/>
      <w:lvlJc w:val="left"/>
      <w:pPr>
        <w:ind w:left="3749" w:hanging="420"/>
      </w:pPr>
      <w:rPr>
        <w:rFonts w:hint="default" w:ascii="Wingdings" w:hAnsi="Wingdings" w:cs="Wingdings"/>
      </w:rPr>
    </w:lvl>
    <w:lvl w:ilvl="7" w:tentative="0">
      <w:start w:val="1"/>
      <w:numFmt w:val="bullet"/>
      <w:lvlText w:val=""/>
      <w:lvlJc w:val="left"/>
      <w:pPr>
        <w:ind w:left="4169" w:hanging="420"/>
      </w:pPr>
      <w:rPr>
        <w:rFonts w:hint="default" w:ascii="Wingdings" w:hAnsi="Wingdings" w:cs="Wingdings"/>
      </w:rPr>
    </w:lvl>
    <w:lvl w:ilvl="8" w:tentative="0">
      <w:start w:val="1"/>
      <w:numFmt w:val="bullet"/>
      <w:lvlText w:val=""/>
      <w:lvlJc w:val="left"/>
      <w:pPr>
        <w:ind w:left="4589" w:hanging="420"/>
      </w:pPr>
      <w:rPr>
        <w:rFonts w:hint="default" w:ascii="Wingdings" w:hAnsi="Wingdings" w:cs="Wingdings"/>
      </w:rPr>
    </w:lvl>
  </w:abstractNum>
  <w:abstractNum w:abstractNumId="2">
    <w:nsid w:val="62CE38CB"/>
    <w:multiLevelType w:val="multilevel"/>
    <w:tmpl w:val="62CE38CB"/>
    <w:lvl w:ilvl="0" w:tentative="0">
      <w:start w:val="1"/>
      <w:numFmt w:val="bullet"/>
      <w:lvlText w:val=""/>
      <w:lvlJc w:val="left"/>
      <w:pPr>
        <w:ind w:left="1229" w:hanging="420"/>
      </w:pPr>
      <w:rPr>
        <w:rFonts w:hint="default" w:ascii="Wingdings" w:hAnsi="Wingdings"/>
      </w:rPr>
    </w:lvl>
    <w:lvl w:ilvl="1" w:tentative="0">
      <w:start w:val="1"/>
      <w:numFmt w:val="bullet"/>
      <w:lvlText w:val=""/>
      <w:lvlJc w:val="left"/>
      <w:pPr>
        <w:ind w:left="1649" w:hanging="420"/>
      </w:pPr>
      <w:rPr>
        <w:rFonts w:hint="default" w:ascii="Wingdings" w:hAnsi="Wingdings" w:cs="Wingdings"/>
      </w:rPr>
    </w:lvl>
    <w:lvl w:ilvl="2" w:tentative="0">
      <w:start w:val="1"/>
      <w:numFmt w:val="bullet"/>
      <w:lvlText w:val=""/>
      <w:lvlJc w:val="left"/>
      <w:pPr>
        <w:ind w:left="2069" w:hanging="420"/>
      </w:pPr>
      <w:rPr>
        <w:rFonts w:hint="default" w:ascii="Wingdings" w:hAnsi="Wingdings" w:cs="Wingdings"/>
      </w:rPr>
    </w:lvl>
    <w:lvl w:ilvl="3" w:tentative="0">
      <w:start w:val="1"/>
      <w:numFmt w:val="bullet"/>
      <w:lvlText w:val=""/>
      <w:lvlJc w:val="left"/>
      <w:pPr>
        <w:ind w:left="2489" w:hanging="420"/>
      </w:pPr>
      <w:rPr>
        <w:rFonts w:hint="default" w:ascii="Wingdings" w:hAnsi="Wingdings" w:cs="Wingdings"/>
      </w:rPr>
    </w:lvl>
    <w:lvl w:ilvl="4" w:tentative="0">
      <w:start w:val="1"/>
      <w:numFmt w:val="bullet"/>
      <w:lvlText w:val=""/>
      <w:lvlJc w:val="left"/>
      <w:pPr>
        <w:ind w:left="2909" w:hanging="420"/>
      </w:pPr>
      <w:rPr>
        <w:rFonts w:hint="default" w:ascii="Wingdings" w:hAnsi="Wingdings" w:cs="Wingdings"/>
      </w:rPr>
    </w:lvl>
    <w:lvl w:ilvl="5" w:tentative="0">
      <w:start w:val="1"/>
      <w:numFmt w:val="bullet"/>
      <w:lvlText w:val=""/>
      <w:lvlJc w:val="left"/>
      <w:pPr>
        <w:ind w:left="3329" w:hanging="420"/>
      </w:pPr>
      <w:rPr>
        <w:rFonts w:hint="default" w:ascii="Wingdings" w:hAnsi="Wingdings" w:cs="Wingdings"/>
      </w:rPr>
    </w:lvl>
    <w:lvl w:ilvl="6" w:tentative="0">
      <w:start w:val="1"/>
      <w:numFmt w:val="bullet"/>
      <w:lvlText w:val=""/>
      <w:lvlJc w:val="left"/>
      <w:pPr>
        <w:ind w:left="3749" w:hanging="420"/>
      </w:pPr>
      <w:rPr>
        <w:rFonts w:hint="default" w:ascii="Wingdings" w:hAnsi="Wingdings" w:cs="Wingdings"/>
      </w:rPr>
    </w:lvl>
    <w:lvl w:ilvl="7" w:tentative="0">
      <w:start w:val="1"/>
      <w:numFmt w:val="bullet"/>
      <w:lvlText w:val=""/>
      <w:lvlJc w:val="left"/>
      <w:pPr>
        <w:ind w:left="4169" w:hanging="420"/>
      </w:pPr>
      <w:rPr>
        <w:rFonts w:hint="default" w:ascii="Wingdings" w:hAnsi="Wingdings" w:cs="Wingdings"/>
      </w:rPr>
    </w:lvl>
    <w:lvl w:ilvl="8" w:tentative="0">
      <w:start w:val="1"/>
      <w:numFmt w:val="bullet"/>
      <w:lvlText w:val=""/>
      <w:lvlJc w:val="left"/>
      <w:pPr>
        <w:ind w:left="4589" w:hanging="420"/>
      </w:pPr>
      <w:rPr>
        <w:rFonts w:hint="default" w:ascii="Wingdings" w:hAnsi="Wingdings" w:cs="Wingdings"/>
      </w:rPr>
    </w:lvl>
  </w:abstractNum>
  <w:abstractNum w:abstractNumId="3">
    <w:nsid w:val="7C687EC2"/>
    <w:multiLevelType w:val="multilevel"/>
    <w:tmpl w:val="7C687EC2"/>
    <w:lvl w:ilvl="0" w:tentative="0">
      <w:start w:val="1"/>
      <w:numFmt w:val="bullet"/>
      <w:lvlText w:val=""/>
      <w:lvlJc w:val="left"/>
      <w:pPr>
        <w:ind w:left="1229" w:hanging="420"/>
      </w:pPr>
      <w:rPr>
        <w:rFonts w:hint="default" w:ascii="Wingdings" w:hAnsi="Wingdings"/>
      </w:rPr>
    </w:lvl>
    <w:lvl w:ilvl="1" w:tentative="0">
      <w:start w:val="1"/>
      <w:numFmt w:val="bullet"/>
      <w:lvlText w:val=""/>
      <w:lvlJc w:val="left"/>
      <w:pPr>
        <w:ind w:left="1649" w:hanging="420"/>
      </w:pPr>
      <w:rPr>
        <w:rFonts w:hint="default" w:ascii="Wingdings" w:hAnsi="Wingdings" w:cs="Wingdings"/>
      </w:rPr>
    </w:lvl>
    <w:lvl w:ilvl="2" w:tentative="0">
      <w:start w:val="1"/>
      <w:numFmt w:val="bullet"/>
      <w:lvlText w:val=""/>
      <w:lvlJc w:val="left"/>
      <w:pPr>
        <w:ind w:left="2069" w:hanging="420"/>
      </w:pPr>
      <w:rPr>
        <w:rFonts w:hint="default" w:ascii="Wingdings" w:hAnsi="Wingdings" w:cs="Wingdings"/>
      </w:rPr>
    </w:lvl>
    <w:lvl w:ilvl="3" w:tentative="0">
      <w:start w:val="1"/>
      <w:numFmt w:val="bullet"/>
      <w:lvlText w:val=""/>
      <w:lvlJc w:val="left"/>
      <w:pPr>
        <w:ind w:left="2489" w:hanging="420"/>
      </w:pPr>
      <w:rPr>
        <w:rFonts w:hint="default" w:ascii="Wingdings" w:hAnsi="Wingdings" w:cs="Wingdings"/>
      </w:rPr>
    </w:lvl>
    <w:lvl w:ilvl="4" w:tentative="0">
      <w:start w:val="1"/>
      <w:numFmt w:val="bullet"/>
      <w:lvlText w:val=""/>
      <w:lvlJc w:val="left"/>
      <w:pPr>
        <w:ind w:left="2909" w:hanging="420"/>
      </w:pPr>
      <w:rPr>
        <w:rFonts w:hint="default" w:ascii="Wingdings" w:hAnsi="Wingdings" w:cs="Wingdings"/>
      </w:rPr>
    </w:lvl>
    <w:lvl w:ilvl="5" w:tentative="0">
      <w:start w:val="1"/>
      <w:numFmt w:val="bullet"/>
      <w:lvlText w:val=""/>
      <w:lvlJc w:val="left"/>
      <w:pPr>
        <w:ind w:left="3329" w:hanging="420"/>
      </w:pPr>
      <w:rPr>
        <w:rFonts w:hint="default" w:ascii="Wingdings" w:hAnsi="Wingdings" w:cs="Wingdings"/>
      </w:rPr>
    </w:lvl>
    <w:lvl w:ilvl="6" w:tentative="0">
      <w:start w:val="1"/>
      <w:numFmt w:val="bullet"/>
      <w:lvlText w:val=""/>
      <w:lvlJc w:val="left"/>
      <w:pPr>
        <w:ind w:left="3749" w:hanging="420"/>
      </w:pPr>
      <w:rPr>
        <w:rFonts w:hint="default" w:ascii="Wingdings" w:hAnsi="Wingdings" w:cs="Wingdings"/>
      </w:rPr>
    </w:lvl>
    <w:lvl w:ilvl="7" w:tentative="0">
      <w:start w:val="1"/>
      <w:numFmt w:val="bullet"/>
      <w:lvlText w:val=""/>
      <w:lvlJc w:val="left"/>
      <w:pPr>
        <w:ind w:left="4169" w:hanging="420"/>
      </w:pPr>
      <w:rPr>
        <w:rFonts w:hint="default" w:ascii="Wingdings" w:hAnsi="Wingdings" w:cs="Wingdings"/>
      </w:rPr>
    </w:lvl>
    <w:lvl w:ilvl="8" w:tentative="0">
      <w:start w:val="1"/>
      <w:numFmt w:val="bullet"/>
      <w:lvlText w:val=""/>
      <w:lvlJc w:val="left"/>
      <w:pPr>
        <w:ind w:left="4589" w:hanging="420"/>
      </w:pPr>
      <w:rPr>
        <w:rFonts w:hint="default" w:ascii="Wingdings" w:hAnsi="Wingdings" w:cs="Wingdings"/>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4B61"/>
    <w:rsid w:val="00023BCB"/>
    <w:rsid w:val="00044D7D"/>
    <w:rsid w:val="000A4AC2"/>
    <w:rsid w:val="000B6C20"/>
    <w:rsid w:val="000E33C6"/>
    <w:rsid w:val="0010351B"/>
    <w:rsid w:val="00115920"/>
    <w:rsid w:val="00141EFB"/>
    <w:rsid w:val="001445B6"/>
    <w:rsid w:val="00196536"/>
    <w:rsid w:val="001A58CE"/>
    <w:rsid w:val="001E3BE4"/>
    <w:rsid w:val="002C370D"/>
    <w:rsid w:val="002F3872"/>
    <w:rsid w:val="003106E8"/>
    <w:rsid w:val="00312170"/>
    <w:rsid w:val="003177B4"/>
    <w:rsid w:val="00320659"/>
    <w:rsid w:val="003342E8"/>
    <w:rsid w:val="00354702"/>
    <w:rsid w:val="00373563"/>
    <w:rsid w:val="003749E0"/>
    <w:rsid w:val="00392F29"/>
    <w:rsid w:val="003A1E16"/>
    <w:rsid w:val="003B6FE5"/>
    <w:rsid w:val="003D72EE"/>
    <w:rsid w:val="00427308"/>
    <w:rsid w:val="0048741A"/>
    <w:rsid w:val="004917DA"/>
    <w:rsid w:val="004F43AC"/>
    <w:rsid w:val="00512F8E"/>
    <w:rsid w:val="00577401"/>
    <w:rsid w:val="00577C8A"/>
    <w:rsid w:val="005917CE"/>
    <w:rsid w:val="005D1F6D"/>
    <w:rsid w:val="005D69D7"/>
    <w:rsid w:val="00607BB6"/>
    <w:rsid w:val="006278A3"/>
    <w:rsid w:val="00630C51"/>
    <w:rsid w:val="00673991"/>
    <w:rsid w:val="006B57F6"/>
    <w:rsid w:val="007025C9"/>
    <w:rsid w:val="0072155D"/>
    <w:rsid w:val="0077295E"/>
    <w:rsid w:val="007A7845"/>
    <w:rsid w:val="007B0DA0"/>
    <w:rsid w:val="007B572B"/>
    <w:rsid w:val="007C2DA1"/>
    <w:rsid w:val="00804CEB"/>
    <w:rsid w:val="00874A9A"/>
    <w:rsid w:val="00895581"/>
    <w:rsid w:val="008C24D2"/>
    <w:rsid w:val="008F547D"/>
    <w:rsid w:val="00916F58"/>
    <w:rsid w:val="00920A75"/>
    <w:rsid w:val="009302BF"/>
    <w:rsid w:val="00931B68"/>
    <w:rsid w:val="00931CE2"/>
    <w:rsid w:val="0093419E"/>
    <w:rsid w:val="00937F9E"/>
    <w:rsid w:val="0094544C"/>
    <w:rsid w:val="00957DB4"/>
    <w:rsid w:val="009A5B69"/>
    <w:rsid w:val="009B0ADA"/>
    <w:rsid w:val="009B7EB9"/>
    <w:rsid w:val="009D1695"/>
    <w:rsid w:val="009E64EA"/>
    <w:rsid w:val="009F2097"/>
    <w:rsid w:val="009F5293"/>
    <w:rsid w:val="00A20A2F"/>
    <w:rsid w:val="00A416B2"/>
    <w:rsid w:val="00A43A46"/>
    <w:rsid w:val="00A542F3"/>
    <w:rsid w:val="00A661E5"/>
    <w:rsid w:val="00A860C9"/>
    <w:rsid w:val="00A91A4B"/>
    <w:rsid w:val="00AA1487"/>
    <w:rsid w:val="00AC45B0"/>
    <w:rsid w:val="00AF02EF"/>
    <w:rsid w:val="00B11FB4"/>
    <w:rsid w:val="00B2041D"/>
    <w:rsid w:val="00B24B61"/>
    <w:rsid w:val="00B2695E"/>
    <w:rsid w:val="00B73320"/>
    <w:rsid w:val="00BA2382"/>
    <w:rsid w:val="00BA61FE"/>
    <w:rsid w:val="00C6163A"/>
    <w:rsid w:val="00CA23B6"/>
    <w:rsid w:val="00CA6957"/>
    <w:rsid w:val="00CD6B0F"/>
    <w:rsid w:val="00D24CD6"/>
    <w:rsid w:val="00D35788"/>
    <w:rsid w:val="00D47D46"/>
    <w:rsid w:val="00D94D64"/>
    <w:rsid w:val="00DB3D5E"/>
    <w:rsid w:val="00DB5CCB"/>
    <w:rsid w:val="00DD7A0A"/>
    <w:rsid w:val="00DE28E5"/>
    <w:rsid w:val="00E1586B"/>
    <w:rsid w:val="00E1764F"/>
    <w:rsid w:val="00E35EEC"/>
    <w:rsid w:val="00E576EE"/>
    <w:rsid w:val="00EE3F63"/>
    <w:rsid w:val="00EE6856"/>
    <w:rsid w:val="00EF052A"/>
    <w:rsid w:val="00EF2723"/>
    <w:rsid w:val="00F01EA2"/>
    <w:rsid w:val="00F3180C"/>
    <w:rsid w:val="00F31F1B"/>
    <w:rsid w:val="00F33828"/>
    <w:rsid w:val="00F86740"/>
    <w:rsid w:val="00FA00EB"/>
    <w:rsid w:val="00FD039B"/>
    <w:rsid w:val="00FE7FB5"/>
    <w:rsid w:val="20FD5D10"/>
    <w:rsid w:val="3A301E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pPr>
    <w:rPr>
      <w:rFonts w:ascii="Noto Sans CJK JP Regular" w:hAnsi="Noto Sans CJK JP Regular" w:eastAsia="Noto Sans CJK JP Regular" w:cs="Noto Sans CJK JP Regular"/>
      <w:sz w:val="22"/>
      <w:szCs w:val="22"/>
      <w:lang w:val="en-US" w:eastAsia="zh-CN" w:bidi="ar-SA"/>
    </w:rPr>
  </w:style>
  <w:style w:type="paragraph" w:styleId="2">
    <w:name w:val="heading 1"/>
    <w:basedOn w:val="1"/>
    <w:next w:val="1"/>
    <w:qFormat/>
    <w:uiPriority w:val="9"/>
    <w:pPr>
      <w:spacing w:line="360" w:lineRule="auto"/>
      <w:ind w:left="329"/>
      <w:outlineLvl w:val="0"/>
    </w:pPr>
    <w:rPr>
      <w:rFonts w:ascii="微软雅黑" w:hAnsi="微软雅黑" w:eastAsia="微软雅黑" w:cs="微软雅黑"/>
      <w:b/>
      <w:sz w:val="36"/>
      <w:szCs w:val="36"/>
    </w:rPr>
  </w:style>
  <w:style w:type="paragraph" w:styleId="3">
    <w:name w:val="heading 2"/>
    <w:basedOn w:val="1"/>
    <w:next w:val="1"/>
    <w:unhideWhenUsed/>
    <w:qFormat/>
    <w:uiPriority w:val="9"/>
    <w:pPr>
      <w:spacing w:line="360" w:lineRule="auto"/>
      <w:ind w:left="329"/>
      <w:outlineLvl w:val="1"/>
    </w:pPr>
    <w:rPr>
      <w:rFonts w:ascii="微软雅黑" w:hAnsi="微软雅黑" w:eastAsia="微软雅黑" w:cs="微软雅黑"/>
      <w:b/>
      <w:sz w:val="30"/>
      <w:szCs w:val="32"/>
    </w:rPr>
  </w:style>
  <w:style w:type="paragraph" w:styleId="4">
    <w:name w:val="heading 3"/>
    <w:basedOn w:val="1"/>
    <w:next w:val="1"/>
    <w:unhideWhenUsed/>
    <w:qFormat/>
    <w:uiPriority w:val="9"/>
    <w:pPr>
      <w:spacing w:before="206"/>
      <w:ind w:left="748"/>
      <w:outlineLvl w:val="2"/>
    </w:pPr>
    <w:rPr>
      <w:rFonts w:ascii="Noto Sans CJK JP Medium" w:hAnsi="Noto Sans CJK JP Medium" w:eastAsia="Noto Sans CJK JP Medium" w:cs="Noto Sans CJK JP Medium"/>
      <w:sz w:val="28"/>
      <w:szCs w:val="28"/>
    </w:rPr>
  </w:style>
  <w:style w:type="paragraph" w:styleId="5">
    <w:name w:val="heading 4"/>
    <w:basedOn w:val="1"/>
    <w:next w:val="1"/>
    <w:unhideWhenUsed/>
    <w:qFormat/>
    <w:uiPriority w:val="9"/>
    <w:pPr>
      <w:spacing w:before="207"/>
      <w:ind w:left="748" w:hanging="421"/>
      <w:outlineLvl w:val="3"/>
    </w:pPr>
    <w:rPr>
      <w:rFonts w:ascii="Noto Sans CJK JP Medium" w:hAnsi="Noto Sans CJK JP Medium" w:eastAsia="Noto Sans CJK JP Medium" w:cs="Noto Sans CJK JP Medium"/>
      <w:sz w:val="26"/>
      <w:szCs w:val="26"/>
    </w:rPr>
  </w:style>
  <w:style w:type="character" w:default="1" w:styleId="18">
    <w:name w:val="Default Paragraph Font"/>
    <w:semiHidden/>
    <w:unhideWhenUsed/>
    <w:uiPriority w:val="1"/>
  </w:style>
  <w:style w:type="table" w:default="1" w:styleId="16">
    <w:name w:val="Normal Table"/>
    <w:semiHidden/>
    <w:unhideWhenUsed/>
    <w:uiPriority w:val="99"/>
    <w:tblPr>
      <w:tblCellMar>
        <w:top w:w="0" w:type="dxa"/>
        <w:left w:w="108" w:type="dxa"/>
        <w:bottom w:w="0" w:type="dxa"/>
        <w:right w:w="108" w:type="dxa"/>
      </w:tblCellMar>
    </w:tblPr>
  </w:style>
  <w:style w:type="paragraph" w:styleId="6">
    <w:name w:val="annotation text"/>
    <w:basedOn w:val="1"/>
    <w:link w:val="26"/>
    <w:unhideWhenUsed/>
    <w:qFormat/>
    <w:uiPriority w:val="99"/>
  </w:style>
  <w:style w:type="paragraph" w:styleId="7">
    <w:name w:val="Body Text"/>
    <w:basedOn w:val="1"/>
    <w:qFormat/>
    <w:uiPriority w:val="1"/>
    <w:pPr>
      <w:spacing w:line="360" w:lineRule="auto"/>
      <w:ind w:firstLine="200" w:firstLineChars="200"/>
      <w:jc w:val="both"/>
    </w:pPr>
    <w:rPr>
      <w:rFonts w:ascii="微软雅黑" w:hAnsi="微软雅黑" w:eastAsia="微软雅黑" w:cs="微软雅黑"/>
      <w:sz w:val="24"/>
      <w:szCs w:val="24"/>
    </w:rPr>
  </w:style>
  <w:style w:type="paragraph" w:styleId="8">
    <w:name w:val="toc 3"/>
    <w:basedOn w:val="1"/>
    <w:next w:val="1"/>
    <w:unhideWhenUsed/>
    <w:qFormat/>
    <w:uiPriority w:val="39"/>
    <w:pPr>
      <w:widowControl/>
      <w:autoSpaceDE/>
      <w:autoSpaceDN/>
      <w:spacing w:after="100" w:line="259" w:lineRule="auto"/>
      <w:ind w:left="440"/>
    </w:pPr>
    <w:rPr>
      <w:rFonts w:cs="Times New Roman" w:asciiTheme="minorHAnsi" w:hAnsiTheme="minorHAnsi" w:eastAsiaTheme="minorEastAsia"/>
    </w:rPr>
  </w:style>
  <w:style w:type="paragraph" w:styleId="9">
    <w:name w:val="Balloon Text"/>
    <w:basedOn w:val="1"/>
    <w:link w:val="29"/>
    <w:semiHidden/>
    <w:unhideWhenUsed/>
    <w:qFormat/>
    <w:uiPriority w:val="99"/>
    <w:rPr>
      <w:sz w:val="18"/>
      <w:szCs w:val="18"/>
    </w:rPr>
  </w:style>
  <w:style w:type="paragraph" w:styleId="10">
    <w:name w:val="footer"/>
    <w:basedOn w:val="1"/>
    <w:link w:val="25"/>
    <w:unhideWhenUsed/>
    <w:qFormat/>
    <w:uiPriority w:val="99"/>
    <w:pPr>
      <w:tabs>
        <w:tab w:val="center" w:pos="4153"/>
        <w:tab w:val="right" w:pos="8306"/>
      </w:tabs>
      <w:snapToGrid w:val="0"/>
    </w:pPr>
    <w:rPr>
      <w:sz w:val="18"/>
      <w:szCs w:val="18"/>
    </w:rPr>
  </w:style>
  <w:style w:type="paragraph" w:styleId="11">
    <w:name w:val="header"/>
    <w:basedOn w:val="1"/>
    <w:link w:val="24"/>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pPr>
      <w:spacing w:before="78"/>
      <w:ind w:left="328"/>
    </w:pPr>
    <w:rPr>
      <w:rFonts w:ascii="Noto Sans CJK JP Medium" w:hAnsi="Noto Sans CJK JP Medium" w:eastAsia="Noto Sans CJK JP Medium" w:cs="Noto Sans CJK JP Medium"/>
    </w:rPr>
  </w:style>
  <w:style w:type="paragraph" w:styleId="13">
    <w:name w:val="toc 2"/>
    <w:basedOn w:val="1"/>
    <w:next w:val="1"/>
    <w:qFormat/>
    <w:uiPriority w:val="39"/>
    <w:pPr>
      <w:spacing w:before="62"/>
      <w:ind w:left="905" w:hanging="363"/>
    </w:pPr>
  </w:style>
  <w:style w:type="paragraph" w:styleId="14">
    <w:name w:val="Title"/>
    <w:basedOn w:val="1"/>
    <w:qFormat/>
    <w:uiPriority w:val="10"/>
    <w:pPr>
      <w:spacing w:line="1390" w:lineRule="exact"/>
      <w:ind w:left="178"/>
      <w:jc w:val="center"/>
    </w:pPr>
    <w:rPr>
      <w:rFonts w:ascii="Noto Sans CJK JP Medium" w:hAnsi="Noto Sans CJK JP Medium" w:eastAsia="Noto Sans CJK JP Medium" w:cs="Noto Sans CJK JP Medium"/>
      <w:sz w:val="72"/>
      <w:szCs w:val="72"/>
    </w:rPr>
  </w:style>
  <w:style w:type="paragraph" w:styleId="15">
    <w:name w:val="annotation subject"/>
    <w:basedOn w:val="6"/>
    <w:next w:val="6"/>
    <w:link w:val="27"/>
    <w:semiHidden/>
    <w:unhideWhenUsed/>
    <w:qFormat/>
    <w:uiPriority w:val="99"/>
    <w:rPr>
      <w:b/>
      <w:bCs/>
    </w:rPr>
  </w:style>
  <w:style w:type="table" w:styleId="17">
    <w:name w:val="Table Grid"/>
    <w:basedOn w:val="1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Hyperlink"/>
    <w:basedOn w:val="18"/>
    <w:unhideWhenUsed/>
    <w:qFormat/>
    <w:uiPriority w:val="99"/>
    <w:rPr>
      <w:color w:val="0000FF" w:themeColor="hyperlink"/>
      <w:u w:val="single"/>
      <w14:textFill>
        <w14:solidFill>
          <w14:schemeClr w14:val="hlink"/>
        </w14:solidFill>
      </w14:textFill>
    </w:rPr>
  </w:style>
  <w:style w:type="character" w:styleId="20">
    <w:name w:val="annotation reference"/>
    <w:basedOn w:val="18"/>
    <w:semiHidden/>
    <w:unhideWhenUsed/>
    <w:qFormat/>
    <w:uiPriority w:val="99"/>
    <w:rPr>
      <w:sz w:val="21"/>
      <w:szCs w:val="21"/>
    </w:rPr>
  </w:style>
  <w:style w:type="table" w:customStyle="1" w:styleId="21">
    <w:name w:val="Table Normal"/>
    <w:semiHidden/>
    <w:unhideWhenUsed/>
    <w:qFormat/>
    <w:uiPriority w:val="2"/>
    <w:tblPr>
      <w:tblCellMar>
        <w:top w:w="0" w:type="dxa"/>
        <w:left w:w="0" w:type="dxa"/>
        <w:bottom w:w="0" w:type="dxa"/>
        <w:right w:w="0" w:type="dxa"/>
      </w:tblCellMar>
    </w:tblPr>
  </w:style>
  <w:style w:type="paragraph" w:styleId="22">
    <w:name w:val="List Paragraph"/>
    <w:basedOn w:val="1"/>
    <w:qFormat/>
    <w:uiPriority w:val="1"/>
    <w:pPr>
      <w:tabs>
        <w:tab w:val="left" w:pos="788"/>
      </w:tabs>
      <w:spacing w:line="360" w:lineRule="auto"/>
      <w:ind w:left="329" w:firstLine="200" w:firstLineChars="200"/>
      <w:jc w:val="both"/>
    </w:pPr>
    <w:rPr>
      <w:rFonts w:ascii="微软雅黑" w:hAnsi="微软雅黑" w:eastAsia="微软雅黑"/>
      <w:sz w:val="24"/>
    </w:rPr>
  </w:style>
  <w:style w:type="paragraph" w:customStyle="1" w:styleId="23">
    <w:name w:val="Table Paragraph"/>
    <w:basedOn w:val="1"/>
    <w:qFormat/>
    <w:uiPriority w:val="1"/>
    <w:pPr>
      <w:spacing w:before="88"/>
      <w:ind w:left="310" w:right="146"/>
      <w:jc w:val="center"/>
    </w:pPr>
  </w:style>
  <w:style w:type="character" w:customStyle="1" w:styleId="24">
    <w:name w:val="页眉 字符"/>
    <w:basedOn w:val="18"/>
    <w:link w:val="11"/>
    <w:qFormat/>
    <w:uiPriority w:val="99"/>
    <w:rPr>
      <w:rFonts w:ascii="Noto Sans CJK JP Regular" w:hAnsi="Noto Sans CJK JP Regular" w:eastAsia="Noto Sans CJK JP Regular" w:cs="Noto Sans CJK JP Regular"/>
      <w:sz w:val="18"/>
      <w:szCs w:val="18"/>
      <w:lang w:eastAsia="zh-CN"/>
    </w:rPr>
  </w:style>
  <w:style w:type="character" w:customStyle="1" w:styleId="25">
    <w:name w:val="页脚 字符"/>
    <w:basedOn w:val="18"/>
    <w:link w:val="10"/>
    <w:qFormat/>
    <w:uiPriority w:val="99"/>
    <w:rPr>
      <w:rFonts w:ascii="Noto Sans CJK JP Regular" w:hAnsi="Noto Sans CJK JP Regular" w:eastAsia="Noto Sans CJK JP Regular" w:cs="Noto Sans CJK JP Regular"/>
      <w:sz w:val="18"/>
      <w:szCs w:val="18"/>
      <w:lang w:eastAsia="zh-CN"/>
    </w:rPr>
  </w:style>
  <w:style w:type="character" w:customStyle="1" w:styleId="26">
    <w:name w:val="批注文字 字符"/>
    <w:basedOn w:val="18"/>
    <w:link w:val="6"/>
    <w:qFormat/>
    <w:uiPriority w:val="99"/>
    <w:rPr>
      <w:rFonts w:ascii="Noto Sans CJK JP Regular" w:hAnsi="Noto Sans CJK JP Regular" w:eastAsia="Noto Sans CJK JP Regular" w:cs="Noto Sans CJK JP Regular"/>
      <w:lang w:eastAsia="zh-CN"/>
    </w:rPr>
  </w:style>
  <w:style w:type="character" w:customStyle="1" w:styleId="27">
    <w:name w:val="批注主题 字符"/>
    <w:basedOn w:val="26"/>
    <w:link w:val="15"/>
    <w:semiHidden/>
    <w:qFormat/>
    <w:uiPriority w:val="99"/>
    <w:rPr>
      <w:rFonts w:ascii="Noto Sans CJK JP Regular" w:hAnsi="Noto Sans CJK JP Regular" w:eastAsia="Noto Sans CJK JP Regular" w:cs="Noto Sans CJK JP Regular"/>
      <w:b/>
      <w:bCs/>
      <w:lang w:eastAsia="zh-CN"/>
    </w:rPr>
  </w:style>
  <w:style w:type="paragraph" w:customStyle="1" w:styleId="28">
    <w:name w:val="Revision"/>
    <w:hidden/>
    <w:semiHidden/>
    <w:qFormat/>
    <w:uiPriority w:val="99"/>
    <w:pPr>
      <w:widowControl/>
      <w:autoSpaceDE/>
      <w:autoSpaceDN/>
    </w:pPr>
    <w:rPr>
      <w:rFonts w:ascii="Noto Sans CJK JP Regular" w:hAnsi="Noto Sans CJK JP Regular" w:eastAsia="Noto Sans CJK JP Regular" w:cs="Noto Sans CJK JP Regular"/>
      <w:sz w:val="22"/>
      <w:szCs w:val="22"/>
      <w:lang w:val="en-US" w:eastAsia="zh-CN" w:bidi="ar-SA"/>
    </w:rPr>
  </w:style>
  <w:style w:type="character" w:customStyle="1" w:styleId="29">
    <w:name w:val="批注框文本 字符"/>
    <w:basedOn w:val="18"/>
    <w:link w:val="9"/>
    <w:semiHidden/>
    <w:qFormat/>
    <w:uiPriority w:val="99"/>
    <w:rPr>
      <w:rFonts w:ascii="Noto Sans CJK JP Regular" w:hAnsi="Noto Sans CJK JP Regular" w:eastAsia="Noto Sans CJK JP Regular" w:cs="Noto Sans CJK JP Regular"/>
      <w:sz w:val="18"/>
      <w:szCs w:val="18"/>
      <w:lang w:eastAsia="zh-CN"/>
    </w:rPr>
  </w:style>
  <w:style w:type="paragraph" w:customStyle="1" w:styleId="30">
    <w:name w:val="TOC Heading"/>
    <w:basedOn w:val="2"/>
    <w:next w:val="1"/>
    <w:unhideWhenUsed/>
    <w:qFormat/>
    <w:uiPriority w:val="39"/>
    <w:pPr>
      <w:keepNext/>
      <w:keepLines/>
      <w:widowControl/>
      <w:autoSpaceDE/>
      <w:autoSpaceDN/>
      <w:spacing w:before="240" w:line="259" w:lineRule="auto"/>
      <w:ind w:left="0"/>
      <w:outlineLvl w:val="9"/>
    </w:pPr>
    <w:rPr>
      <w:rFonts w:asciiTheme="majorHAnsi" w:hAnsiTheme="majorHAnsi" w:eastAsiaTheme="majorEastAsia" w:cstheme="majorBidi"/>
      <w:b w:val="0"/>
      <w:color w:val="376092" w:themeColor="accent1" w:themeShade="BF"/>
      <w:sz w:val="32"/>
      <w:szCs w:val="32"/>
    </w:rPr>
  </w:style>
  <w:style w:type="table" w:customStyle="1" w:styleId="31">
    <w:name w:val="网格型1"/>
    <w:basedOn w:val="16"/>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7" Type="http://schemas.openxmlformats.org/officeDocument/2006/relationships/fontTable" Target="fontTable.xml"/><Relationship Id="rId36" Type="http://schemas.openxmlformats.org/officeDocument/2006/relationships/customXml" Target="../customXml/item2.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6.jpeg"/><Relationship Id="rId32" Type="http://schemas.openxmlformats.org/officeDocument/2006/relationships/image" Target="media/image25.png"/><Relationship Id="rId31" Type="http://schemas.openxmlformats.org/officeDocument/2006/relationships/image" Target="media/image24.jpeg"/><Relationship Id="rId30" Type="http://schemas.openxmlformats.org/officeDocument/2006/relationships/image" Target="media/image23.jpeg"/><Relationship Id="rId3" Type="http://schemas.openxmlformats.org/officeDocument/2006/relationships/header" Target="header1.xml"/><Relationship Id="rId29" Type="http://schemas.openxmlformats.org/officeDocument/2006/relationships/image" Target="media/image22.jpeg"/><Relationship Id="rId28" Type="http://schemas.openxmlformats.org/officeDocument/2006/relationships/image" Target="media/image21.jpeg"/><Relationship Id="rId27" Type="http://schemas.openxmlformats.org/officeDocument/2006/relationships/image" Target="media/image20.jpeg"/><Relationship Id="rId26" Type="http://schemas.openxmlformats.org/officeDocument/2006/relationships/image" Target="media/image19.jpeg"/><Relationship Id="rId25" Type="http://schemas.openxmlformats.org/officeDocument/2006/relationships/image" Target="media/image18.jpeg"/><Relationship Id="rId24" Type="http://schemas.openxmlformats.org/officeDocument/2006/relationships/image" Target="media/image17.jpeg"/><Relationship Id="rId23" Type="http://schemas.openxmlformats.org/officeDocument/2006/relationships/image" Target="media/image16.png"/><Relationship Id="rId22" Type="http://schemas.openxmlformats.org/officeDocument/2006/relationships/image" Target="media/image15.jpeg"/><Relationship Id="rId21" Type="http://schemas.openxmlformats.org/officeDocument/2006/relationships/image" Target="media/image14.jpeg"/><Relationship Id="rId20" Type="http://schemas.openxmlformats.org/officeDocument/2006/relationships/image" Target="media/image13.jpeg"/><Relationship Id="rId2" Type="http://schemas.openxmlformats.org/officeDocument/2006/relationships/settings" Target="settings.xml"/><Relationship Id="rId19" Type="http://schemas.openxmlformats.org/officeDocument/2006/relationships/image" Target="media/image12.jpeg"/><Relationship Id="rId18" Type="http://schemas.openxmlformats.org/officeDocument/2006/relationships/image" Target="media/image11.jpe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CFAEBE1-B830-4FC8-BB8F-D82A4C40E4F8}">
  <ds:schemaRefs/>
</ds:datastoreItem>
</file>

<file path=docProps/app.xml><?xml version="1.0" encoding="utf-8"?>
<Properties xmlns="http://schemas.openxmlformats.org/officeDocument/2006/extended-properties" xmlns:vt="http://schemas.openxmlformats.org/officeDocument/2006/docPropsVTypes">
  <Template>Normal.dotm</Template>
  <Pages>19</Pages>
  <Words>1165</Words>
  <Characters>6647</Characters>
  <Lines>55</Lines>
  <Paragraphs>15</Paragraphs>
  <TotalTime>1434</TotalTime>
  <ScaleCrop>false</ScaleCrop>
  <LinksUpToDate>false</LinksUpToDate>
  <CharactersWithSpaces>7797</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2020-04-15T08:05:00Z</dcterms:created>
  <dc:creator>Kang Zhijun</dc:creator>
  <cp:lastModifiedBy>光与影的交错</cp:lastModifiedBy>
  <dcterms:modified xsi:type="dcterms:W3CDTF">2020-05-19T07:20:52Z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2020-03-27T00:00:00Z</vt:filetime>
  </property>
  <property fmtid="{D5CDD505-2E9C-101B-9397-08002B2CF9AE}" pid="3" name="Creator">
    <vt:lpwstr>Acrobat PDFMaker 19 Word 版</vt:lpwstr>
  </property>
  <property fmtid="{D5CDD505-2E9C-101B-9397-08002B2CF9AE}" pid="4" name="LastSaved">
    <vt:filetime>2020-04-11T00:00:00Z</vt:filetime>
  </property>
  <property fmtid="{D5CDD505-2E9C-101B-9397-08002B2CF9AE}" pid="5" name="KSOProductBuildVer">
    <vt:lpwstr>2052-11.1.0.9584</vt:lpwstr>
  </property>
</Properties>
</file>